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3" w:lineRule="exact"/>
        <w:ind w:firstLine="62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bookmark6"/>
      <w:bookmarkStart w:id="1" w:name="bookmark7"/>
      <w:bookmarkStart w:id="2" w:name="bookmark8"/>
    </w:p>
    <w:p>
      <w:pPr>
        <w:pStyle w:val="14"/>
        <w:spacing w:line="563" w:lineRule="exact"/>
        <w:ind w:firstLine="62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金普新区城市更新实施办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（暂行）</w:t>
      </w:r>
      <w:bookmarkEnd w:id="0"/>
      <w:bookmarkEnd w:id="1"/>
      <w:bookmarkEnd w:id="2"/>
    </w:p>
    <w:p>
      <w:pPr>
        <w:pStyle w:val="14"/>
        <w:spacing w:line="563" w:lineRule="exact"/>
        <w:ind w:firstLine="0"/>
        <w:jc w:val="center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>
      <w:pPr>
        <w:pStyle w:val="14"/>
        <w:spacing w:line="563" w:lineRule="exact"/>
        <w:ind w:firstLine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4"/>
        <w:spacing w:line="563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pStyle w:val="14"/>
        <w:spacing w:line="563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为深入贯彻习近平新时代中国特色社会主义思想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全面贯彻党的十九大和十九届二中、三中、四中、五中全会精神,深入贯彻《中共中央关于制定国民经济和社会发展第十四个五年规划和二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〇</w:t>
      </w:r>
      <w:r>
        <w:rPr>
          <w:rFonts w:ascii="Times New Roman" w:hAnsi="Times New Roman" w:eastAsia="仿宋_GB2312" w:cs="Times New Roman"/>
          <w:sz w:val="32"/>
          <w:szCs w:val="32"/>
        </w:rPr>
        <w:t>三五年远景目标的建议》、中央城市工作会议精神，落实省、市及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金普新区党工委、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管委会</w:t>
      </w:r>
      <w:r>
        <w:rPr>
          <w:rFonts w:ascii="Times New Roman" w:hAnsi="Times New Roman" w:eastAsia="仿宋_GB2312" w:cs="Times New Roman"/>
          <w:sz w:val="32"/>
          <w:szCs w:val="32"/>
        </w:rPr>
        <w:t>工作举措，以城市更新推进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金普新区更高质量发展，现结合实际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制定本办法。</w:t>
      </w:r>
    </w:p>
    <w:p>
      <w:pPr>
        <w:pStyle w:val="14"/>
        <w:spacing w:line="566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坚持以人民为中心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实施城市更新行动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推进城市生态修复，强化历史文化保护，塑造城市风貌，优化产业升级，加强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老</w:t>
      </w:r>
      <w:r>
        <w:rPr>
          <w:rFonts w:ascii="Times New Roman" w:hAnsi="Times New Roman" w:eastAsia="仿宋_GB2312" w:cs="Times New Roman"/>
          <w:sz w:val="32"/>
          <w:szCs w:val="32"/>
        </w:rPr>
        <w:t>城区、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城中村</w:t>
      </w:r>
      <w:r>
        <w:rPr>
          <w:rFonts w:ascii="Times New Roman" w:hAnsi="Times New Roman" w:eastAsia="仿宋_GB2312" w:cs="Times New Roman"/>
          <w:sz w:val="32"/>
          <w:szCs w:val="32"/>
        </w:rPr>
        <w:t>、旧厂房更新改造，实现城市功能的一次重新定位和历史性重塑。</w:t>
      </w:r>
    </w:p>
    <w:p>
      <w:pPr>
        <w:pStyle w:val="14"/>
        <w:spacing w:line="566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金普新区范围内的城市更新适用本办法。</w:t>
      </w:r>
    </w:p>
    <w:p>
      <w:pPr>
        <w:pStyle w:val="14"/>
        <w:spacing w:line="566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本办法所指城市更新，是指对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老旧城区和发展不均衡的城市区</w:t>
      </w:r>
      <w:r>
        <w:rPr>
          <w:rFonts w:ascii="Times New Roman" w:hAnsi="Times New Roman" w:eastAsia="仿宋_GB2312" w:cs="Times New Roman"/>
          <w:sz w:val="32"/>
          <w:szCs w:val="32"/>
        </w:rPr>
        <w:t>域的提升改造建设，通过综合整治、拆除重建等方式，从而统筹实现城市空间结构调整、城市生态修复和功能完善、历史文化保护和城市风貌塑造、居住社区建设和改造、城市基础设施建设、新产业新业态融合发展等目的。通过城市更新实现城市价值提升、功能提升、产业提升、文化提升、环境提升及生活品质提升，精致打磨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经济增长有活力、城市文化有品位、公共服务有温度、生态环境有魅力、安全发展有韧性</w:t>
      </w:r>
      <w:r>
        <w:rPr>
          <w:rFonts w:ascii="Times New Roman" w:hAnsi="Times New Roman" w:eastAsia="仿宋_GB2312" w:cs="Times New Roman"/>
          <w:sz w:val="32"/>
          <w:szCs w:val="32"/>
        </w:rPr>
        <w:t>”的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金普新区</w:t>
      </w:r>
      <w:r>
        <w:rPr>
          <w:rFonts w:ascii="Times New Roman" w:hAnsi="Times New Roman" w:eastAsia="仿宋_GB2312" w:cs="Times New Roman"/>
          <w:sz w:val="32"/>
          <w:szCs w:val="32"/>
        </w:rPr>
        <w:t>城区。</w:t>
      </w:r>
    </w:p>
    <w:p>
      <w:pPr>
        <w:pStyle w:val="14"/>
        <w:spacing w:line="560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城市更新坚持以下原则：</w:t>
      </w:r>
    </w:p>
    <w:p>
      <w:pPr>
        <w:pStyle w:val="14"/>
        <w:tabs>
          <w:tab w:val="left" w:pos="1626"/>
        </w:tabs>
        <w:spacing w:line="560" w:lineRule="exact"/>
        <w:ind w:firstLine="78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bookmarkStart w:id="3" w:name="bookmark9"/>
      <w:r>
        <w:rPr>
          <w:rFonts w:ascii="楷体" w:hAnsi="楷体" w:eastAsia="楷体" w:cs="楷体"/>
          <w:sz w:val="32"/>
          <w:szCs w:val="32"/>
        </w:rPr>
        <w:t>（</w:t>
      </w:r>
      <w:bookmarkEnd w:id="3"/>
      <w:r>
        <w:rPr>
          <w:rFonts w:ascii="楷体" w:hAnsi="楷体" w:eastAsia="楷体" w:cs="楷体"/>
          <w:sz w:val="32"/>
          <w:szCs w:val="32"/>
        </w:rPr>
        <w:t>一）</w:t>
      </w:r>
      <w:r>
        <w:rPr>
          <w:rFonts w:hint="eastAsia" w:ascii="楷体" w:hAnsi="楷体" w:eastAsia="楷体" w:cs="楷体"/>
          <w:sz w:val="32"/>
          <w:szCs w:val="32"/>
        </w:rPr>
        <w:t>生态优先、产业升级。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以绿色、低碳、循环为主的城市建设为引领，</w:t>
      </w:r>
      <w:r>
        <w:rPr>
          <w:rFonts w:ascii="Times New Roman" w:hAnsi="Times New Roman" w:eastAsia="仿宋_GB2312" w:cs="Times New Roman"/>
          <w:sz w:val="32"/>
          <w:szCs w:val="32"/>
        </w:rPr>
        <w:t>以生态为引领，依托区域业态本底，科学确定产业定位和发展方向，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强化功能定位，明确规划引导，提升城市核心功能区产业能级，</w:t>
      </w:r>
      <w:r>
        <w:rPr>
          <w:rFonts w:ascii="Times New Roman" w:hAnsi="Times New Roman" w:eastAsia="仿宋_GB2312" w:cs="Times New Roman"/>
          <w:sz w:val="32"/>
          <w:szCs w:val="32"/>
        </w:rPr>
        <w:t>推动发展新经济、新业态、新场景、新功能。</w:t>
      </w:r>
    </w:p>
    <w:p>
      <w:pPr>
        <w:pStyle w:val="14"/>
        <w:tabs>
          <w:tab w:val="left" w:pos="1618"/>
        </w:tabs>
        <w:spacing w:line="560" w:lineRule="exact"/>
        <w:ind w:firstLine="78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4" w:name="bookmark10"/>
      <w:r>
        <w:rPr>
          <w:rFonts w:ascii="楷体" w:hAnsi="楷体" w:eastAsia="楷体" w:cs="楷体"/>
          <w:sz w:val="32"/>
          <w:szCs w:val="32"/>
        </w:rPr>
        <w:t>（</w:t>
      </w:r>
      <w:bookmarkEnd w:id="4"/>
      <w:r>
        <w:rPr>
          <w:rFonts w:ascii="楷体" w:hAnsi="楷体" w:eastAsia="楷体" w:cs="楷体"/>
          <w:sz w:val="32"/>
          <w:szCs w:val="32"/>
        </w:rPr>
        <w:t>二）民生优先、配套完善。</w:t>
      </w: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“缺</w:t>
      </w:r>
      <w:r>
        <w:rPr>
          <w:rFonts w:ascii="Times New Roman" w:hAnsi="Times New Roman" w:eastAsia="仿宋_GB2312" w:cs="Times New Roman"/>
          <w:sz w:val="32"/>
          <w:szCs w:val="32"/>
        </w:rPr>
        <w:t>什么补什么”的原则，解决居民最迫切、最急需的教育、医疗、养老、商业、文化等公 共设施配套，提升居住环境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和宜居品质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14"/>
        <w:tabs>
          <w:tab w:val="left" w:pos="1611"/>
        </w:tabs>
        <w:spacing w:line="560" w:lineRule="exact"/>
        <w:ind w:firstLine="78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5" w:name="bookmark11"/>
      <w:r>
        <w:rPr>
          <w:rFonts w:ascii="楷体" w:hAnsi="楷体" w:eastAsia="楷体" w:cs="楷体"/>
          <w:sz w:val="32"/>
          <w:szCs w:val="32"/>
        </w:rPr>
        <w:t>（</w:t>
      </w:r>
      <w:bookmarkEnd w:id="5"/>
      <w:r>
        <w:rPr>
          <w:rFonts w:ascii="楷体" w:hAnsi="楷体" w:eastAsia="楷体" w:cs="楷体"/>
          <w:sz w:val="32"/>
          <w:szCs w:val="32"/>
        </w:rPr>
        <w:t>三）历史传承、文创赋能。</w:t>
      </w:r>
      <w:r>
        <w:rPr>
          <w:rFonts w:ascii="Times New Roman" w:hAnsi="Times New Roman" w:eastAsia="仿宋_GB2312" w:cs="Times New Roman"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“历史</w:t>
      </w:r>
      <w:r>
        <w:rPr>
          <w:rFonts w:ascii="Times New Roman" w:hAnsi="Times New Roman" w:eastAsia="仿宋_GB2312" w:cs="Times New Roman"/>
          <w:sz w:val="32"/>
          <w:szCs w:val="32"/>
        </w:rPr>
        <w:t>为骨、文化为魂”的更新理念，以文创赋能实现生活方式与历史文化串联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着力提升城市文化厚度，深入挖掘新区历史文化底蕴。</w:t>
      </w:r>
    </w:p>
    <w:p>
      <w:pPr>
        <w:pStyle w:val="14"/>
        <w:tabs>
          <w:tab w:val="left" w:pos="1618"/>
        </w:tabs>
        <w:spacing w:after="540" w:line="560" w:lineRule="exact"/>
        <w:ind w:firstLine="78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6" w:name="bookmark12"/>
      <w:r>
        <w:rPr>
          <w:rFonts w:ascii="楷体" w:hAnsi="楷体" w:eastAsia="楷体" w:cs="楷体"/>
          <w:sz w:val="32"/>
          <w:szCs w:val="32"/>
        </w:rPr>
        <w:t>（</w:t>
      </w:r>
      <w:bookmarkEnd w:id="6"/>
      <w:r>
        <w:rPr>
          <w:rFonts w:ascii="楷体" w:hAnsi="楷体" w:eastAsia="楷体" w:cs="楷体"/>
          <w:sz w:val="32"/>
          <w:szCs w:val="32"/>
        </w:rPr>
        <w:t>四）政府引导、多方参与。</w:t>
      </w:r>
      <w:r>
        <w:rPr>
          <w:rFonts w:ascii="Times New Roman" w:hAnsi="Times New Roman" w:eastAsia="仿宋_GB2312" w:cs="Times New Roman"/>
          <w:sz w:val="32"/>
          <w:szCs w:val="32"/>
        </w:rPr>
        <w:t>按照政府引导、市场运作、国企主体的原则，政府搭建统一的合作平台，通过政策导控、规划管控，调动各类主体的积极性，加大财政支持力度，鼓励国有企业有效实施城市更新。</w:t>
      </w:r>
    </w:p>
    <w:p>
      <w:pPr>
        <w:pStyle w:val="14"/>
        <w:spacing w:line="560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工作机制</w:t>
      </w:r>
    </w:p>
    <w:p>
      <w:pPr>
        <w:pStyle w:val="14"/>
        <w:spacing w:line="558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金普新区城市更新工作领导小组负责统筹协调重大问题，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审批工作计划和方案，审定政策措施，</w:t>
      </w:r>
      <w:r>
        <w:rPr>
          <w:rFonts w:ascii="Times New Roman" w:hAnsi="Times New Roman" w:eastAsia="仿宋_GB2312" w:cs="Times New Roman"/>
          <w:sz w:val="32"/>
          <w:szCs w:val="32"/>
        </w:rPr>
        <w:t>督促检查各成员单位工作。</w:t>
      </w:r>
    </w:p>
    <w:p>
      <w:pPr>
        <w:pStyle w:val="14"/>
        <w:spacing w:after="540" w:line="558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金普新区城市更新工作领导小组下设办公室，统筹组织相关部门实施城市更新，按照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“点</w:t>
      </w:r>
      <w:r>
        <w:rPr>
          <w:rFonts w:ascii="Times New Roman" w:hAnsi="Times New Roman" w:eastAsia="仿宋_GB2312" w:cs="Times New Roman"/>
          <w:sz w:val="32"/>
          <w:szCs w:val="32"/>
        </w:rPr>
        <w:t>上突破、引领提升”的城市更新思路，先行组织相关街道启动示范片区城市更新工作。</w:t>
      </w:r>
    </w:p>
    <w:p>
      <w:pPr>
        <w:pStyle w:val="14"/>
        <w:spacing w:line="560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第三章 城市更新规划编制</w:t>
      </w:r>
    </w:p>
    <w:p>
      <w:pPr>
        <w:pStyle w:val="14"/>
        <w:spacing w:line="564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大连金普新区</w:t>
      </w:r>
      <w:r>
        <w:rPr>
          <w:rFonts w:ascii="Times New Roman" w:hAnsi="Times New Roman" w:eastAsia="仿宋_GB2312" w:cs="Times New Roman"/>
          <w:sz w:val="32"/>
          <w:szCs w:val="32"/>
        </w:rPr>
        <w:t>城市更新工作领导小组负责，依据城市发展要求，构建由专项规划及年度计划组成的城市更新目标传导机制，建立健全城市更新规划编制体系，搭建城市更新规划建设领域国际化、专业化的专家智库。</w:t>
      </w:r>
    </w:p>
    <w:p>
      <w:pPr>
        <w:pStyle w:val="14"/>
        <w:spacing w:after="540" w:line="564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金普新区城市更新专项规划按程序经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大连金普新区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三委会</w:t>
      </w:r>
      <w:r>
        <w:rPr>
          <w:rFonts w:ascii="Times New Roman" w:hAnsi="Times New Roman" w:eastAsia="仿宋_GB2312" w:cs="Times New Roman"/>
          <w:sz w:val="32"/>
          <w:szCs w:val="32"/>
        </w:rPr>
        <w:t>审议通过后，报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新区</w:t>
      </w:r>
      <w:r>
        <w:rPr>
          <w:rFonts w:ascii="Times New Roman" w:hAnsi="Times New Roman" w:eastAsia="仿宋_GB2312" w:cs="Times New Roman"/>
          <w:sz w:val="32"/>
          <w:szCs w:val="32"/>
        </w:rPr>
        <w:t>管委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ascii="Times New Roman" w:hAnsi="Times New Roman" w:eastAsia="仿宋_GB2312" w:cs="Times New Roman"/>
          <w:sz w:val="32"/>
          <w:szCs w:val="32"/>
        </w:rPr>
        <w:t>批准。城市更新单元规划涉及控规强制性内容调整的，按照控规调整程序办理，并及时就调整内容对控规进行动态维护。</w:t>
      </w:r>
    </w:p>
    <w:p>
      <w:pPr>
        <w:pStyle w:val="14"/>
        <w:spacing w:line="560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第四章 城市更新实施计划</w:t>
      </w:r>
    </w:p>
    <w:p>
      <w:pPr>
        <w:pStyle w:val="14"/>
        <w:spacing w:line="566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新区住房和城乡建设局</w:t>
      </w:r>
      <w:bookmarkStart w:id="7" w:name="_GoBack"/>
      <w:bookmarkEnd w:id="7"/>
      <w:r>
        <w:rPr>
          <w:rFonts w:ascii="Times New Roman" w:hAnsi="Times New Roman" w:eastAsia="仿宋_GB2312" w:cs="Times New Roman"/>
          <w:sz w:val="32"/>
          <w:szCs w:val="32"/>
        </w:rPr>
        <w:t>提报的城市更新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专项规划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新区</w:t>
      </w:r>
      <w:r>
        <w:rPr>
          <w:rFonts w:ascii="Times New Roman" w:hAnsi="Times New Roman" w:eastAsia="仿宋_GB2312" w:cs="Times New Roman"/>
          <w:sz w:val="32"/>
          <w:szCs w:val="32"/>
        </w:rPr>
        <w:t>城市更新工作领导小组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相关部门</w:t>
      </w:r>
      <w:r>
        <w:rPr>
          <w:rFonts w:ascii="Times New Roman" w:hAnsi="Times New Roman" w:eastAsia="仿宋_GB2312" w:cs="Times New Roman"/>
          <w:sz w:val="32"/>
          <w:szCs w:val="32"/>
        </w:rPr>
        <w:t>编制城市更新实施计划并报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大连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金普新区管委会审定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14"/>
        <w:spacing w:line="566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实施计划应当包括城市更新单元内的具体项目、边界和规模、实施主体、投融资模式、进度安排等内容。</w:t>
      </w:r>
    </w:p>
    <w:p>
      <w:pPr>
        <w:pStyle w:val="14"/>
        <w:spacing w:after="260" w:line="564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实施计划确需调整的，按照本办法规定程序办理。</w:t>
      </w:r>
    </w:p>
    <w:p>
      <w:pPr>
        <w:pStyle w:val="14"/>
        <w:spacing w:line="560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第五章</w:t>
      </w:r>
      <w:r>
        <w:rPr>
          <w:rFonts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城市更新实施方案</w:t>
      </w:r>
    </w:p>
    <w:p>
      <w:pPr>
        <w:pStyle w:val="14"/>
        <w:spacing w:line="56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根据城市更新实施计划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由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新区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城市更新工作领导小组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指定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相关部门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制定实施方案。</w:t>
      </w:r>
      <w:r>
        <w:rPr>
          <w:rFonts w:ascii="Times New Roman" w:hAnsi="Times New Roman" w:eastAsia="仿宋_GB2312" w:cs="Times New Roman"/>
          <w:sz w:val="32"/>
          <w:szCs w:val="32"/>
        </w:rPr>
        <w:t>实施方案包括更新方式、实现途径、设计方案、建设方案、运营方案等内容。</w:t>
      </w:r>
    </w:p>
    <w:p>
      <w:pPr>
        <w:pStyle w:val="14"/>
        <w:spacing w:line="568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城市更新应当坚持策划、设计、运营一体化，优化资源配置，充分利用政策支持，成熟一片实施一片，力求实现项目自身盈亏平衡。更新方式要多元化，增强实施落地性，针对不同片区或建筑，设计多元化更新方式。</w:t>
      </w:r>
    </w:p>
    <w:p>
      <w:pPr>
        <w:pStyle w:val="14"/>
        <w:spacing w:line="568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城市更新项目中涉及拆除重建和功能改变的，根据土地整理和供应方式，并按照相关政策文件确定的土地收储改造、原土地使用权人改造、原农村集体经济组织改造和市场主体改造方式实施；涉及保护利用和综合整治的，由相关街道制定实施方案并组织实施，相关主管部门依据职能办理审批手续。</w:t>
      </w:r>
    </w:p>
    <w:p>
      <w:pPr>
        <w:pStyle w:val="14"/>
        <w:spacing w:line="567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管委会鼓励将城市更新项目纳入土地全生命周期管理。结合城市规划、产业规划，综合产业功能、区域配套、公共服务等因素，将项目功能、建设计划、运营管理、物业持有、持有年限和节能环保等要求，纳入与项目实施主体签订的履约协议书进行监督管理。</w:t>
      </w:r>
    </w:p>
    <w:p>
      <w:pPr>
        <w:pStyle w:val="14"/>
        <w:spacing w:line="567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实施方案经新区城市更新工作领导小组会同相关主管部门审查，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并报请新区管委会批准后，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主体</w:t>
      </w:r>
      <w:r>
        <w:rPr>
          <w:rFonts w:ascii="Times New Roman" w:hAnsi="Times New Roman" w:eastAsia="仿宋_GB2312" w:cs="Times New Roman"/>
          <w:sz w:val="32"/>
          <w:szCs w:val="32"/>
        </w:rPr>
        <w:t>组织实施。</w:t>
      </w:r>
    </w:p>
    <w:p>
      <w:pPr>
        <w:pStyle w:val="14"/>
        <w:spacing w:line="560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第六章</w:t>
      </w:r>
      <w:r>
        <w:rPr>
          <w:rFonts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支持政策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第十八条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符合区域国土空间规划、国民经济和社会发展规划的城市更新项目，允许不同地块之间的容积率转移。利用既有建筑发展新产业、新业态、新商业，可实行用途兼容使用。鼓励地上地下立体开发建设，科学利用城市地下空间资源。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第十九条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城市更新涉及搬迁补偿的，按程序确定土地使用权人作为项目开发建设主体，并预先约定土地出让合同生效及解约条件，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管委会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组织实施搬迁补偿后，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土地使用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权人实施开发建设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城市更新片区需要改变土地权属和房屋所有权的，可以依法通过征收、房屋买卖、资产划转、股份合作等方式取得，并按程序办理不动产登记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城市更新片区不涉及土地权属和房屋所有权变动的，可以通过市场租赁等方式取得原建筑物的使用权。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城市更新片区既不涉及土地权属和房屋所有权变动，也不需要取得原建筑物使用权的，经充分征求原建筑权利人意见后依法实施。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第二十条 可通过公开招投标、竞争性磋商或指定方式，选择有实力的国有企业作为城市更新项目实施主体。</w:t>
      </w:r>
    </w:p>
    <w:p>
      <w:pPr>
        <w:pStyle w:val="14"/>
        <w:spacing w:line="55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支持实施主体以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协议出让、定向挂牌、带方案出让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等方式依法合规取得土地使用权。</w:t>
      </w:r>
    </w:p>
    <w:p>
      <w:pPr>
        <w:pStyle w:val="14"/>
        <w:spacing w:line="551" w:lineRule="exact"/>
        <w:ind w:firstLine="6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城市更新项目原则上应达到自身收支平衡条件，对确实无法资金平衡但确需实施的项目，可通过政府补助、异地安置、容积率异地补偿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增加组合开发地块</w:t>
      </w:r>
      <w:r>
        <w:rPr>
          <w:rFonts w:ascii="Times New Roman" w:hAnsi="Times New Roman" w:eastAsia="仿宋_GB2312" w:cs="Times New Roman"/>
          <w:sz w:val="32"/>
          <w:szCs w:val="32"/>
        </w:rPr>
        <w:t>等方式统筹平衡，促进更新实施。</w:t>
      </w:r>
    </w:p>
    <w:p>
      <w:pPr>
        <w:pStyle w:val="14"/>
        <w:spacing w:line="564" w:lineRule="exact"/>
        <w:ind w:firstLine="6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加大财政资金扶持，积极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申请国家政策支持，统筹国有土地出让金支出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优先用于区级重点城市更新项目。</w:t>
      </w:r>
    </w:p>
    <w:p>
      <w:pPr>
        <w:pStyle w:val="14"/>
        <w:spacing w:line="564" w:lineRule="exact"/>
        <w:ind w:firstLine="6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鼓励和引导社会资本通过公开、公平、公正方式参与城市更新项目，探索城市更新政府与居民合理共担机制、政府和社会资金合作建设模式。</w:t>
      </w:r>
    </w:p>
    <w:p>
      <w:pPr>
        <w:pStyle w:val="14"/>
        <w:spacing w:after="800" w:line="564" w:lineRule="exact"/>
        <w:ind w:firstLine="6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鼓励积极利用国家政策性补助资金、金融对城市更新的支持政策筹集资金。引导商业金融机构创新服务产品，支持城市更新资金筹措。</w:t>
      </w:r>
    </w:p>
    <w:p>
      <w:pPr>
        <w:pStyle w:val="14"/>
        <w:spacing w:line="560" w:lineRule="exact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第七章</w:t>
      </w:r>
      <w:r>
        <w:rPr>
          <w:rFonts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附则</w:t>
      </w:r>
    </w:p>
    <w:p>
      <w:pPr>
        <w:pStyle w:val="14"/>
        <w:spacing w:line="590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条 本实施办法由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大连</w:t>
      </w:r>
      <w:r>
        <w:rPr>
          <w:rFonts w:ascii="Times New Roman" w:hAnsi="Times New Roman" w:eastAsia="仿宋_GB2312" w:cs="Times New Roman"/>
          <w:sz w:val="32"/>
          <w:szCs w:val="32"/>
        </w:rPr>
        <w:t>金普新区城市更新工作领导小组办公室负责解释。</w:t>
      </w:r>
    </w:p>
    <w:p>
      <w:pPr>
        <w:pStyle w:val="14"/>
        <w:spacing w:after="200" w:line="569" w:lineRule="exact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新区</w:t>
      </w:r>
      <w:r>
        <w:rPr>
          <w:rFonts w:ascii="Times New Roman" w:hAnsi="Times New Roman" w:eastAsia="仿宋_GB2312" w:cs="Times New Roman"/>
          <w:sz w:val="32"/>
          <w:szCs w:val="32"/>
        </w:rPr>
        <w:t>有关部门按照本办法制定土地、规划、建设、不动产登记、财税等相关配套文件。</w:t>
      </w:r>
    </w:p>
    <w:p>
      <w:pPr>
        <w:pStyle w:val="14"/>
        <w:spacing w:line="240" w:lineRule="auto"/>
        <w:ind w:firstLine="6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七条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本办法自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发布之</w:t>
      </w:r>
      <w:r>
        <w:rPr>
          <w:rFonts w:ascii="Times New Roman" w:hAnsi="Times New Roman" w:eastAsia="仿宋_GB2312" w:cs="Times New Roman"/>
          <w:sz w:val="32"/>
          <w:szCs w:val="32"/>
        </w:rPr>
        <w:t>日起施行，有效期2年。</w:t>
      </w:r>
    </w:p>
    <w:sectPr>
      <w:footerReference r:id="rId5" w:type="default"/>
      <w:footerReference r:id="rId6" w:type="even"/>
      <w:pgSz w:w="11900" w:h="16840"/>
      <w:pgMar w:top="1939" w:right="1395" w:bottom="2332" w:left="1613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9488170</wp:posOffset>
              </wp:positionV>
              <wp:extent cx="612775" cy="1231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74.85pt;margin-top:747.1pt;height:9.7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ey9A9kAAAAO&#10;AQAADwAAAGRycy9kb3ducmV2LnhtbE2PwU7DMBBE70j8g7VI3KidEtImxOmhEhdulAqJmxtv44jY&#10;jmw3Tf6e7Qlus5qn2Zl6N9uBTRhi752EbCWAoWu97l0n4fj59rQFFpNyWg3eoYQFI+ya+7taVdpf&#10;3QdOh9QxCnGxUhJMSmPFeWwNWhVXfkRH3tkHqxKdoeM6qCuF24GvhSi4Vb2jD0aNuDfY/hwuVsJm&#10;/vI4Rtzj93lqg+mX7fC+SPn4kIlXYAnn9AfDrT5Vh4Y6nfzF6cgGCWVebgglIy/zNbAbIvKC1InU&#10;S/ZcAG9q/n9G8wtQSwMEFAAAAAgAh07iQBAcx0u7AQAAlQMAAA4AAABkcnMvZTJvRG9jLnhtbK1T&#10;TW/bMAy9D9h/EHRfHGdouhlxig1BhwLDNqDbD1BkKhagL4hK7Pz7UrKTdt2lh11siqIf33ukN3ej&#10;NewEEbV3La8XS87ASd9pd2j5n9/3Hz5xhkm4ThjvoOVnQH63ff9uM4QGVr73poPICMRhM4SW9ymF&#10;pqpQ9mAFLnwAR5fKRysSHeOh6qIYCN2aarVcrqvBxy5ELwGRsrvpks+I8S2AXiktYefl0YJLE2oE&#10;IxJJwl4H5NvCVimQ6adSCImZlpPSVJ7UhOJ9flbbjWgOUYRey5mCeAuFV5qs0I6aXqF2Igl2jPof&#10;KKtl9OhVWkhvq0lIcYRU1MtX3jz2IkDRQlZjuJqO/w9W/jj9ikx3LV9z5oSlgZeubJ2tGQI2VPEY&#10;qCaNX/1IC3PJIyWz4lFFm9+khdE9GXu+GgtjYpKS63p1e3vDmaSrevWx/lyMr54/DhHTN/CW5aDl&#10;keZW7BSn75iICJVeSnIv5++1MWV2xv2VoMIpA2X489dZx8Q3R2ncj7O4ve/OpG2gBWi5o33nzDw4&#10;8jfvyiWIl2A/B7kjhi/HRDQKu4w6QRHVfKBpFdLzZuV1eHkuVc9/0/Y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ey9A9kAAAAOAQAADwAAAAAAAAABACAAAAAiAAAAZHJzL2Rvd25yZXYueG1sUEsB&#10;AhQAFAAAAAgAh07iQBAcx0u7AQAAl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9561195</wp:posOffset>
              </wp:positionV>
              <wp:extent cx="603250" cy="1231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82.45pt;margin-top:752.85pt;height:9.7pt;width:47.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oyUZHtcAAAAN&#10;AQAADwAAAGRycy9kb3ducmV2LnhtbE2PS0/DMBCE70j8B2uRuFE7EekjxOmhEhduFITEzY23cYQf&#10;ke2myb9ne4Lbzuxo9ttmPzvLJoxpCF5CsRLA0HdBD76X8Pnx+rQFlrLyWtngUcKCCfbt/V2jah2u&#10;/h2nY+4ZlfhUKwkm57HmPHUGnUqrMKKn3TlEpzLJ2HMd1ZXKneWlEGvu1ODpglEjHgx2P8eLk7CZ&#10;vwKOCQ/4fZ66aIZla98WKR8fCvECLOOc/8Jwwyd0aInpFC5eJ2ZJr593FKWhEtUGGEXKakfW6WaV&#10;VQG8bfj/L9pfUEsDBBQAAAAIAIdO4kD/jx9nugEAAJUDAAAOAAAAZHJzL2Uyb0RvYy54bWytU8Fu&#10;2zAMvQ/oPwi6N3ZStOiMOMWKoMWAYRvQ7QMUWYoFSKIgKrHz96NkJ+26Sw+7yBRJPfI90uuH0Vl2&#10;VBEN+JYvFzVnykvojN+3/Pevp+t7zjAJ3wkLXrX8pJA/bK4+rYfQqBX0YDsVGYF4bIbQ8j6l0FQV&#10;yl45gQsIylNQQ3Qi0TXuqy6KgdCdrVZ1fVcNELsQQSpE8m6nIJ8R40cAQWsj1RbkwSmfJtSorEhE&#10;CXsTkG9Kt1ormX5ojSox23JimspJRcje5bParEWzjyL0Rs4tiI+08I6TE8ZT0QvUViTBDtH8A+WM&#10;jICg00KCqyYiRRFisazfafPSi6AKF5Iaw0V0/H+w8vvxZ2SmazmN3QtHAy9V2X2WZgjYUMZLoJw0&#10;PsJIC3P2Izkz41FHl7/EhVGchD1dhFVjYpKcd/XN6pYikkLL1c3ycxG+en0cIqZnBY5lo+WR5lbk&#10;FMdvmKgRSj2n5Foenoy1ZXbW/+WgxMmjyvDn15nH1G+20rgbZ3I76E7EbaAFaLmnfefMfvWkb96V&#10;sxHPxm42ckUMXw6J2ijdZdQJilrNF5pWaXrerLwOb+8l6/Vv2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yUZHtcAAAANAQAADwAAAAAAAAABACAAAAAiAAAAZHJzL2Rvd25yZXYueG1sUEsBAhQA&#10;FAAAAAgAh07iQP+PH2e6AQAAl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8F"/>
    <w:rsid w:val="00051F10"/>
    <w:rsid w:val="00075941"/>
    <w:rsid w:val="00135775"/>
    <w:rsid w:val="001E3820"/>
    <w:rsid w:val="00232CE1"/>
    <w:rsid w:val="004176BF"/>
    <w:rsid w:val="00495480"/>
    <w:rsid w:val="005770C4"/>
    <w:rsid w:val="005C4F44"/>
    <w:rsid w:val="005F4417"/>
    <w:rsid w:val="006A38A6"/>
    <w:rsid w:val="006A47AE"/>
    <w:rsid w:val="008467BC"/>
    <w:rsid w:val="009D2FEA"/>
    <w:rsid w:val="00A7516B"/>
    <w:rsid w:val="00B04280"/>
    <w:rsid w:val="00B365EC"/>
    <w:rsid w:val="00BA0ADA"/>
    <w:rsid w:val="00BB34B0"/>
    <w:rsid w:val="00BF3074"/>
    <w:rsid w:val="00C44436"/>
    <w:rsid w:val="00C60523"/>
    <w:rsid w:val="00F4473A"/>
    <w:rsid w:val="00F54E7C"/>
    <w:rsid w:val="00FA258F"/>
    <w:rsid w:val="05887226"/>
    <w:rsid w:val="05F61B02"/>
    <w:rsid w:val="06BA2BB5"/>
    <w:rsid w:val="0C4D3630"/>
    <w:rsid w:val="1151362D"/>
    <w:rsid w:val="11B239B3"/>
    <w:rsid w:val="148B1D07"/>
    <w:rsid w:val="150B3B18"/>
    <w:rsid w:val="20862F06"/>
    <w:rsid w:val="219848FF"/>
    <w:rsid w:val="2B281DBE"/>
    <w:rsid w:val="38D47290"/>
    <w:rsid w:val="3BD45AA8"/>
    <w:rsid w:val="45892412"/>
    <w:rsid w:val="50240B61"/>
    <w:rsid w:val="511D3438"/>
    <w:rsid w:val="5F8D0F78"/>
    <w:rsid w:val="5FD27E9A"/>
    <w:rsid w:val="60166970"/>
    <w:rsid w:val="6BA50F82"/>
    <w:rsid w:val="74370E25"/>
    <w:rsid w:val="7B2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color w:val="D6080C"/>
      <w:sz w:val="72"/>
      <w:szCs w:val="72"/>
      <w:u w:val="singl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1600"/>
      <w:jc w:val="center"/>
      <w:outlineLvl w:val="0"/>
    </w:pPr>
    <w:rPr>
      <w:rFonts w:ascii="宋体" w:hAnsi="宋体" w:eastAsia="宋体" w:cs="宋体"/>
      <w:color w:val="D6080C"/>
      <w:sz w:val="72"/>
      <w:szCs w:val="72"/>
      <w:u w:val="single"/>
      <w:lang w:val="zh-TW" w:eastAsia="zh-TW" w:bidi="zh-TW"/>
    </w:rPr>
  </w:style>
  <w:style w:type="character" w:customStyle="1" w:styleId="11">
    <w:name w:val="Heading #2|1_"/>
    <w:basedOn w:val="7"/>
    <w:link w:val="12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after="1100" w:line="565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3">
    <w:name w:val="Body text|1_"/>
    <w:basedOn w:val="7"/>
    <w:link w:val="1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5">
    <w:name w:val="Header or footer|2_"/>
    <w:basedOn w:val="7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character" w:customStyle="1" w:styleId="17">
    <w:name w:val="Header or footer|1_"/>
    <w:basedOn w:val="7"/>
    <w:link w:val="1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rPr>
      <w:sz w:val="28"/>
      <w:szCs w:val="28"/>
      <w:lang w:val="zh-TW" w:eastAsia="zh-TW" w:bidi="zh-TW"/>
    </w:rPr>
  </w:style>
  <w:style w:type="character" w:customStyle="1" w:styleId="19">
    <w:name w:val="批注框文本 字符"/>
    <w:basedOn w:val="7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0">
    <w:name w:val="页眉 字符"/>
    <w:basedOn w:val="7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1">
    <w:name w:val="页脚 字符"/>
    <w:basedOn w:val="7"/>
    <w:link w:val="4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font2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</Words>
  <Characters>2400</Characters>
  <Lines>20</Lines>
  <Paragraphs>5</Paragraphs>
  <TotalTime>0</TotalTime>
  <ScaleCrop>false</ScaleCrop>
  <LinksUpToDate>false</LinksUpToDate>
  <CharactersWithSpaces>2815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2021-06-24T02:56:00Z</dcterms:created>
  <dc:creator>win10</dc:creator>
  <cp:lastModifiedBy>Freenight</cp:lastModifiedBy>
  <cp:lastPrinted>2021-07-08T06:43:00Z</cp:lastPrinted>
  <dcterms:modified xsi:type="dcterms:W3CDTF">2021-08-04T02:13:55Z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D7AC57713A264C1C9DB7E9000EF90AB6</vt:lpwstr>
  </property>
</Properties>
</file>