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DD80F">
      <w:pPr>
        <w:snapToGrid w:val="0"/>
        <w:spacing w:line="560" w:lineRule="exact"/>
        <w:jc w:val="center"/>
        <w:rPr>
          <w:rFonts w:hint="default" w:ascii="Times New Roman" w:hAnsi="Times New Roman" w:eastAsia="方正小标宋简体" w:cs="Times New Roman"/>
          <w:bCs/>
          <w:sz w:val="44"/>
          <w:szCs w:val="44"/>
          <w:shd w:val="clear" w:color="auto" w:fill="FFFFFF"/>
        </w:rPr>
      </w:pPr>
      <w:r>
        <w:rPr>
          <w:rFonts w:hint="default" w:ascii="Times New Roman" w:hAnsi="Times New Roman" w:eastAsia="方正小标宋简体" w:cs="Times New Roman"/>
          <w:bCs/>
          <w:sz w:val="44"/>
          <w:szCs w:val="44"/>
          <w:shd w:val="clear" w:color="auto" w:fill="FFFFFF"/>
          <w:lang w:val="en-US" w:eastAsia="zh-CN"/>
        </w:rPr>
        <w:t>大孤山化工园区</w:t>
      </w:r>
      <w:r>
        <w:rPr>
          <w:rFonts w:hint="default" w:ascii="Times New Roman" w:hAnsi="Times New Roman" w:eastAsia="方正小标宋简体" w:cs="Times New Roman"/>
          <w:bCs/>
          <w:sz w:val="44"/>
          <w:szCs w:val="44"/>
          <w:shd w:val="clear" w:color="auto" w:fill="FFFFFF"/>
        </w:rPr>
        <w:t>危险化学品</w:t>
      </w:r>
    </w:p>
    <w:p w14:paraId="16CDD401">
      <w:pPr>
        <w:snapToGrid w:val="0"/>
        <w:spacing w:line="560" w:lineRule="exact"/>
        <w:jc w:val="center"/>
        <w:rPr>
          <w:rFonts w:hint="default" w:ascii="Times New Roman" w:hAnsi="Times New Roman" w:eastAsia="方正小标宋简体" w:cs="Times New Roman"/>
          <w:bCs/>
          <w:sz w:val="44"/>
          <w:szCs w:val="44"/>
          <w:shd w:val="clear" w:color="auto" w:fill="FFFFFF"/>
          <w:lang w:eastAsia="zh-CN"/>
        </w:rPr>
      </w:pPr>
      <w:r>
        <w:rPr>
          <w:rFonts w:hint="default" w:ascii="Times New Roman" w:hAnsi="Times New Roman" w:eastAsia="方正小标宋简体" w:cs="Times New Roman"/>
          <w:bCs/>
          <w:sz w:val="44"/>
          <w:szCs w:val="44"/>
          <w:shd w:val="clear" w:color="auto" w:fill="FFFFFF"/>
        </w:rPr>
        <w:t>禁止、限制和控制目录</w:t>
      </w:r>
    </w:p>
    <w:p w14:paraId="34542585">
      <w:pPr>
        <w:spacing w:line="560" w:lineRule="exact"/>
        <w:ind w:firstLine="632" w:firstLineChars="200"/>
        <w:rPr>
          <w:rFonts w:hint="default" w:ascii="Times New Roman" w:hAnsi="Times New Roman" w:eastAsia="仿宋_GB2312" w:cs="Times New Roman"/>
          <w:sz w:val="32"/>
          <w:szCs w:val="32"/>
        </w:rPr>
      </w:pPr>
    </w:p>
    <w:p w14:paraId="03722181">
      <w:pPr>
        <w:spacing w:line="56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为防范和化解危险化学品系统性安全风险，</w:t>
      </w:r>
      <w:r>
        <w:rPr>
          <w:rFonts w:hint="default" w:ascii="Times New Roman" w:hAnsi="Times New Roman" w:eastAsia="仿宋_GB2312" w:cs="Times New Roman"/>
          <w:sz w:val="32"/>
          <w:szCs w:val="32"/>
          <w:lang w:eastAsia="zh-CN"/>
        </w:rPr>
        <w:t>促进</w:t>
      </w:r>
      <w:r>
        <w:rPr>
          <w:rFonts w:hint="default" w:ascii="Times New Roman" w:hAnsi="Times New Roman" w:eastAsia="仿宋_GB2312" w:cs="Times New Roman"/>
          <w:sz w:val="32"/>
          <w:szCs w:val="32"/>
          <w:lang w:val="en-US" w:eastAsia="zh-CN"/>
        </w:rPr>
        <w:t>大孤山化工园区化工</w:t>
      </w:r>
      <w:r>
        <w:rPr>
          <w:rFonts w:hint="default" w:ascii="Times New Roman" w:hAnsi="Times New Roman" w:eastAsia="仿宋_GB2312" w:cs="Times New Roman"/>
          <w:sz w:val="32"/>
          <w:szCs w:val="32"/>
          <w:lang w:eastAsia="zh-CN"/>
        </w:rPr>
        <w:t>安全健康发展，</w:t>
      </w:r>
      <w:r>
        <w:rPr>
          <w:rFonts w:hint="default" w:ascii="Times New Roman" w:hAnsi="Times New Roman" w:eastAsia="仿宋_GB2312" w:cs="Times New Roman"/>
          <w:sz w:val="32"/>
          <w:szCs w:val="32"/>
        </w:rPr>
        <w:t>根据《</w:t>
      </w:r>
      <w:r>
        <w:rPr>
          <w:rFonts w:hint="eastAsia" w:cs="Times New Roman"/>
          <w:sz w:val="32"/>
          <w:szCs w:val="32"/>
          <w:lang w:eastAsia="zh-CN"/>
        </w:rPr>
        <w:t>化工园区安全风险排查治理导则</w:t>
      </w:r>
      <w:r>
        <w:rPr>
          <w:rFonts w:hint="default" w:ascii="Times New Roman" w:hAnsi="Times New Roman" w:eastAsia="仿宋_GB2312" w:cs="Times New Roman"/>
          <w:sz w:val="32"/>
          <w:szCs w:val="32"/>
        </w:rPr>
        <w:t>》</w:t>
      </w:r>
      <w:r>
        <w:rPr>
          <w:rFonts w:hint="eastAsia" w:cs="Times New Roman"/>
          <w:sz w:val="32"/>
          <w:szCs w:val="32"/>
          <w:lang w:eastAsia="zh-CN"/>
        </w:rPr>
        <w:t>、</w:t>
      </w:r>
      <w:r>
        <w:rPr>
          <w:rFonts w:hint="default" w:ascii="Times New Roman" w:hAnsi="Times New Roman" w:eastAsia="仿宋_GB2312" w:cs="Times New Roman"/>
          <w:sz w:val="32"/>
          <w:szCs w:val="32"/>
        </w:rPr>
        <w:t>《大连市危险化学品禁止、限制和控制目录》</w:t>
      </w:r>
      <w:r>
        <w:rPr>
          <w:rFonts w:hint="default" w:ascii="Times New Roman" w:hAnsi="Times New Roman" w:eastAsia="仿宋_GB2312" w:cs="Times New Roman"/>
          <w:sz w:val="32"/>
          <w:szCs w:val="32"/>
          <w:lang w:eastAsia="zh-CN"/>
        </w:rPr>
        <w:t>（大政办发〔</w:t>
      </w: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39号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要求，结合实际制定</w:t>
      </w:r>
      <w:r>
        <w:rPr>
          <w:rFonts w:hint="default" w:ascii="Times New Roman" w:hAnsi="Times New Roman" w:eastAsia="仿宋_GB2312" w:cs="Times New Roman"/>
          <w:sz w:val="32"/>
          <w:szCs w:val="32"/>
          <w:lang w:eastAsia="zh-CN"/>
        </w:rPr>
        <w:t>《大孤山化工园区危险化学品禁止、限制和控制目录》</w:t>
      </w:r>
      <w:r>
        <w:rPr>
          <w:rFonts w:hint="default" w:ascii="Times New Roman" w:hAnsi="Times New Roman" w:eastAsia="仿宋_GB2312" w:cs="Times New Roman"/>
          <w:sz w:val="32"/>
          <w:szCs w:val="32"/>
        </w:rPr>
        <w:t>(以下简称《目录》)。</w:t>
      </w:r>
    </w:p>
    <w:p w14:paraId="11AF999A">
      <w:pPr>
        <w:numPr>
          <w:ilvl w:val="0"/>
          <w:numId w:val="1"/>
        </w:numPr>
        <w:spacing w:line="560" w:lineRule="exact"/>
        <w:ind w:firstLine="632"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总则 </w:t>
      </w:r>
    </w:p>
    <w:p w14:paraId="1D5074A9">
      <w:pPr>
        <w:numPr>
          <w:ilvl w:val="0"/>
          <w:numId w:val="0"/>
        </w:numPr>
        <w:spacing w:line="560" w:lineRule="exact"/>
        <w:ind w:firstLine="632" w:firstLineChars="200"/>
        <w:outlineLvl w:val="0"/>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（一）</w:t>
      </w:r>
      <w:r>
        <w:rPr>
          <w:rFonts w:hint="default" w:ascii="Times New Roman" w:hAnsi="Times New Roman" w:eastAsia="楷体_GB2312" w:cs="Times New Roman"/>
          <w:b w:val="0"/>
          <w:bCs w:val="0"/>
          <w:kern w:val="0"/>
          <w:sz w:val="32"/>
          <w:szCs w:val="32"/>
        </w:rPr>
        <w:t>监管体系。</w:t>
      </w:r>
      <w:r>
        <w:rPr>
          <w:rFonts w:hint="default" w:ascii="Times New Roman" w:hAnsi="Times New Roman" w:eastAsia="仿宋_GB2312" w:cs="Times New Roman"/>
          <w:sz w:val="32"/>
          <w:szCs w:val="32"/>
          <w:lang w:val="en-US" w:eastAsia="zh-CN"/>
        </w:rPr>
        <w:t>园区各主管部门</w:t>
      </w:r>
      <w:r>
        <w:rPr>
          <w:rFonts w:hint="default" w:ascii="Times New Roman" w:hAnsi="Times New Roman" w:eastAsia="仿宋_GB2312" w:cs="Times New Roman"/>
          <w:sz w:val="32"/>
          <w:szCs w:val="32"/>
        </w:rPr>
        <w:t>要结合各自实际</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目录》要求，建立健全“党政同责、一岗双责、齐抓共管、失职追责”的安全生产责任体系，按照“管行业必须管安全、管业务必须管安全、管生产经营必须管安全”和“分类管理、分级负责、属地为主”的要求，进一步压实责任、健全机制、形成合力，切实强化危险化学品安全监管职责。</w:t>
      </w:r>
    </w:p>
    <w:p w14:paraId="52A613B1">
      <w:pPr>
        <w:numPr>
          <w:ilvl w:val="0"/>
          <w:numId w:val="2"/>
        </w:numPr>
        <w:shd w:val="solid" w:color="FFFFFF" w:fill="auto"/>
        <w:autoSpaceDN w:val="0"/>
        <w:spacing w:line="560" w:lineRule="exact"/>
        <w:ind w:firstLine="632"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楷体_GB2312" w:cs="Times New Roman"/>
          <w:b w:val="0"/>
          <w:bCs w:val="0"/>
          <w:sz w:val="32"/>
          <w:szCs w:val="32"/>
        </w:rPr>
        <w:t>源头管理。</w:t>
      </w:r>
      <w:r>
        <w:rPr>
          <w:rFonts w:hint="default" w:ascii="Times New Roman" w:hAnsi="Times New Roman" w:eastAsia="仿宋_GB2312" w:cs="Times New Roman"/>
          <w:sz w:val="32"/>
          <w:szCs w:val="32"/>
        </w:rPr>
        <w:t>发展</w:t>
      </w:r>
      <w:r>
        <w:rPr>
          <w:rFonts w:hint="eastAsia" w:cs="Times New Roman"/>
          <w:sz w:val="32"/>
          <w:szCs w:val="32"/>
          <w:lang w:eastAsia="zh-CN"/>
        </w:rPr>
        <w:t>和</w:t>
      </w:r>
      <w:r>
        <w:rPr>
          <w:rFonts w:hint="default" w:ascii="Times New Roman" w:hAnsi="Times New Roman" w:eastAsia="仿宋_GB2312" w:cs="Times New Roman"/>
          <w:sz w:val="32"/>
          <w:szCs w:val="32"/>
        </w:rPr>
        <w:t>改革、工业</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信息化、公安、自然资源、生态环境、</w:t>
      </w:r>
      <w:r>
        <w:rPr>
          <w:rFonts w:hint="default" w:ascii="Times New Roman" w:hAnsi="Times New Roman" w:eastAsia="仿宋_GB2312" w:cs="Times New Roman"/>
          <w:sz w:val="32"/>
          <w:szCs w:val="32"/>
          <w:lang w:eastAsia="zh-CN"/>
        </w:rPr>
        <w:t>住房</w:t>
      </w:r>
      <w:r>
        <w:rPr>
          <w:rFonts w:hint="eastAsia" w:cs="Times New Roman"/>
          <w:sz w:val="32"/>
          <w:szCs w:val="32"/>
          <w:lang w:eastAsia="zh-CN"/>
        </w:rPr>
        <w:t>和</w:t>
      </w:r>
      <w:r>
        <w:rPr>
          <w:rFonts w:hint="default" w:ascii="Times New Roman" w:hAnsi="Times New Roman" w:eastAsia="仿宋_GB2312" w:cs="Times New Roman"/>
          <w:sz w:val="32"/>
          <w:szCs w:val="32"/>
        </w:rPr>
        <w:t>城乡建设、交通运输、商务、卫生健康、市场</w:t>
      </w:r>
      <w:r>
        <w:rPr>
          <w:rFonts w:hint="default" w:ascii="Times New Roman" w:hAnsi="Times New Roman" w:eastAsia="仿宋_GB2312" w:cs="Times New Roman"/>
          <w:sz w:val="32"/>
          <w:szCs w:val="32"/>
          <w:lang w:eastAsia="zh-CN"/>
        </w:rPr>
        <w:t>监管</w:t>
      </w:r>
      <w:r>
        <w:rPr>
          <w:rFonts w:hint="default" w:ascii="Times New Roman" w:hAnsi="Times New Roman" w:eastAsia="仿宋_GB2312" w:cs="Times New Roman"/>
          <w:sz w:val="32"/>
          <w:szCs w:val="32"/>
        </w:rPr>
        <w:t>、应急管理等相关部门要结合《目录》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在危险化学品建设项目的立项、规划、建设，相关行政许可证照新领、换发、延期、注销和化工装置拆除等关键环节，依法从紧从严实施审查审批。</w:t>
      </w:r>
    </w:p>
    <w:p w14:paraId="0B3F5DC2">
      <w:pPr>
        <w:spacing w:line="56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（三）企业</w:t>
      </w:r>
      <w:r>
        <w:rPr>
          <w:rFonts w:hint="default" w:ascii="Times New Roman" w:hAnsi="Times New Roman" w:eastAsia="楷体_GB2312" w:cs="Times New Roman"/>
          <w:b w:val="0"/>
          <w:bCs w:val="0"/>
          <w:kern w:val="0"/>
          <w:sz w:val="32"/>
          <w:szCs w:val="32"/>
        </w:rPr>
        <w:t>主体责任。</w:t>
      </w:r>
      <w:r>
        <w:rPr>
          <w:rFonts w:hint="default" w:ascii="Times New Roman" w:hAnsi="Times New Roman" w:eastAsia="仿宋_GB2312" w:cs="Times New Roman"/>
          <w:sz w:val="32"/>
          <w:szCs w:val="32"/>
        </w:rPr>
        <w:t>各类危险化学品企业要把落实安全生产主体责任作为安全生产的出发点、落脚点、关键点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结合各自实际，按照“细、严、实”的要求，制定有操作性、针对性的安全生产管理规章制度，构建横向到边、纵向到底的全员岗位全覆盖的安全责任体系。</w:t>
      </w:r>
    </w:p>
    <w:p w14:paraId="4249433A">
      <w:pPr>
        <w:spacing w:line="56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（四）生产经营储存环节。</w:t>
      </w:r>
      <w:r>
        <w:rPr>
          <w:rFonts w:hint="default" w:ascii="Times New Roman" w:hAnsi="Times New Roman" w:eastAsia="仿宋_GB2312" w:cs="Times New Roman"/>
          <w:sz w:val="32"/>
          <w:szCs w:val="32"/>
        </w:rPr>
        <w:t>生产、经营、储存《目录》中限制和控制危险化学品的单位，应当根据其生产、储存的危险化学品的种类和危险特性，在作业场所设置相应的预防事故、控制事故、减少与消除事故影响的安全设施、设备，</w:t>
      </w:r>
      <w:r>
        <w:rPr>
          <w:rFonts w:hint="default" w:ascii="Times New Roman" w:hAnsi="Times New Roman" w:eastAsia="仿宋_GB2312" w:cs="Times New Roman"/>
          <w:kern w:val="0"/>
          <w:sz w:val="32"/>
          <w:szCs w:val="32"/>
        </w:rPr>
        <w:t>并对安全设施、设备进行经常性维护、保养，保证安全设施</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设备正常使用。</w:t>
      </w:r>
    </w:p>
    <w:p w14:paraId="48F02E7C">
      <w:pPr>
        <w:spacing w:line="560" w:lineRule="exact"/>
        <w:ind w:firstLine="632"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b w:val="0"/>
          <w:bCs w:val="0"/>
          <w:sz w:val="32"/>
          <w:szCs w:val="32"/>
        </w:rPr>
        <w:t>（五）使用环节。</w:t>
      </w:r>
      <w:r>
        <w:rPr>
          <w:rFonts w:hint="default" w:ascii="Times New Roman" w:hAnsi="Times New Roman" w:eastAsia="仿宋_GB2312" w:cs="Times New Roman"/>
          <w:sz w:val="32"/>
          <w:szCs w:val="32"/>
        </w:rPr>
        <w:t>使用危险化学品从事生产并且使用量达到规定数量的化工企业，应当依照有关规定取得使用许可证。无</w:t>
      </w:r>
      <w:r>
        <w:rPr>
          <w:rFonts w:hint="default" w:ascii="Times New Roman" w:hAnsi="Times New Roman" w:eastAsia="仿宋_GB2312" w:cs="Times New Roman"/>
          <w:sz w:val="32"/>
          <w:szCs w:val="32"/>
          <w:lang w:eastAsia="zh-CN"/>
        </w:rPr>
        <w:t>须</w:t>
      </w:r>
      <w:r>
        <w:rPr>
          <w:rFonts w:hint="default" w:ascii="Times New Roman" w:hAnsi="Times New Roman" w:eastAsia="仿宋_GB2312" w:cs="Times New Roman"/>
          <w:sz w:val="32"/>
          <w:szCs w:val="32"/>
        </w:rPr>
        <w:t>取得使用安全许可的相关企业、医院、学校等危险化学品使用单位，也应当委托依法取得危险货物运输资质的单位配送危险化学品，并加强其使用安全管理。</w:t>
      </w:r>
    </w:p>
    <w:p w14:paraId="38C68DC1">
      <w:pPr>
        <w:shd w:val="solid" w:color="FFFFFF" w:fill="auto"/>
        <w:autoSpaceDN w:val="0"/>
        <w:spacing w:line="560" w:lineRule="exact"/>
        <w:ind w:firstLine="632" w:firstLineChars="200"/>
        <w:rPr>
          <w:rFonts w:hint="default" w:ascii="Times New Roman" w:hAnsi="Times New Roman" w:eastAsia="仿宋" w:cs="Times New Roman"/>
          <w:sz w:val="32"/>
          <w:szCs w:val="32"/>
        </w:rPr>
      </w:pPr>
      <w:r>
        <w:rPr>
          <w:rFonts w:hint="default" w:ascii="Times New Roman" w:hAnsi="Times New Roman" w:eastAsia="楷体_GB2312" w:cs="Times New Roman"/>
          <w:b w:val="0"/>
          <w:bCs w:val="0"/>
          <w:sz w:val="32"/>
          <w:szCs w:val="32"/>
        </w:rPr>
        <w:t>（六）运输环节。</w:t>
      </w:r>
      <w:r>
        <w:rPr>
          <w:rFonts w:hint="default" w:ascii="Times New Roman" w:hAnsi="Times New Roman" w:eastAsia="仿宋_GB2312" w:cs="Times New Roman"/>
          <w:kern w:val="0"/>
          <w:sz w:val="32"/>
          <w:szCs w:val="32"/>
        </w:rPr>
        <w:t>危险化学品运输企业应执行市</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区</w:t>
      </w:r>
      <w:r>
        <w:rPr>
          <w:rFonts w:hint="default" w:ascii="Times New Roman" w:hAnsi="Times New Roman" w:eastAsia="仿宋_GB2312" w:cs="Times New Roman"/>
          <w:kern w:val="0"/>
          <w:sz w:val="32"/>
          <w:szCs w:val="32"/>
        </w:rPr>
        <w:t>交通运输主管部门的有关规定，将危险化学品运输车辆动态监控终端接入交通运输部门联网联控平台。运输易燃、易爆以及剧毒危险化学品，应悬挂警示标志并采取必要的安全措施。</w:t>
      </w:r>
      <w:r>
        <w:rPr>
          <w:rFonts w:hint="default" w:ascii="Times New Roman" w:hAnsi="Times New Roman" w:eastAsia="仿宋_GB2312" w:cs="Times New Roman"/>
          <w:sz w:val="32"/>
          <w:szCs w:val="32"/>
        </w:rPr>
        <w:t>严格城市重点区域、城市主要街路、公路隧道、人流密集场所、高架桥梁、饮用水源地等区域危险货物运输车辆通行管控。</w:t>
      </w:r>
    </w:p>
    <w:p w14:paraId="688D4B5C">
      <w:pPr>
        <w:spacing w:line="56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（七）危废处置环节。</w:t>
      </w:r>
      <w:r>
        <w:rPr>
          <w:rFonts w:hint="default" w:ascii="Times New Roman" w:hAnsi="Times New Roman" w:eastAsia="仿宋_GB2312" w:cs="Times New Roman"/>
          <w:sz w:val="32"/>
          <w:szCs w:val="32"/>
        </w:rPr>
        <w:t>建立部门联动、区域协作机制，形成覆盖危险废物产生、收集、贮存、转移、运输、利用、处置等全过程的监管体系。严格落实废弃危险化学品处置安全监督管理责任，科学规划、合理</w:t>
      </w:r>
      <w:r>
        <w:rPr>
          <w:rFonts w:hint="default" w:ascii="Times New Roman" w:hAnsi="Times New Roman" w:eastAsia="仿宋_GB2312" w:cs="Times New Roman"/>
          <w:sz w:val="32"/>
          <w:szCs w:val="32"/>
          <w:lang w:val="en-US" w:eastAsia="zh-CN"/>
        </w:rPr>
        <w:t>优先选择园区内</w:t>
      </w:r>
      <w:r>
        <w:rPr>
          <w:rFonts w:hint="default" w:ascii="Times New Roman" w:hAnsi="Times New Roman" w:eastAsia="仿宋_GB2312" w:cs="Times New Roman"/>
          <w:sz w:val="32"/>
          <w:szCs w:val="32"/>
        </w:rPr>
        <w:t>危险废物处置企业，减少处置环节风险。</w:t>
      </w:r>
    </w:p>
    <w:p w14:paraId="4E851364">
      <w:pPr>
        <w:spacing w:line="560" w:lineRule="exact"/>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二、禁止部分 </w:t>
      </w:r>
    </w:p>
    <w:p w14:paraId="48921819">
      <w:pPr>
        <w:autoSpaceDE w:val="0"/>
        <w:autoSpaceDN w:val="0"/>
        <w:adjustRightInd w:val="0"/>
        <w:spacing w:line="560" w:lineRule="exact"/>
        <w:ind w:firstLine="632"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b w:val="0"/>
          <w:bCs w:val="0"/>
          <w:sz w:val="32"/>
          <w:szCs w:val="32"/>
        </w:rPr>
        <w:t>（一）危险化学品品种禁止。</w:t>
      </w:r>
      <w:r>
        <w:rPr>
          <w:rFonts w:hint="default" w:ascii="Times New Roman" w:hAnsi="Times New Roman" w:eastAsia="仿宋_GB2312" w:cs="Times New Roman"/>
          <w:sz w:val="32"/>
          <w:szCs w:val="32"/>
        </w:rPr>
        <w:t>《目录》中《禁止危险化学品目录》（附件1）所列危险化学品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lang w:val="en-US" w:eastAsia="zh-CN"/>
        </w:rPr>
        <w:t>园区管辖</w:t>
      </w:r>
      <w:r>
        <w:rPr>
          <w:rFonts w:hint="default" w:ascii="Times New Roman" w:hAnsi="Times New Roman" w:eastAsia="仿宋_GB2312" w:cs="Times New Roman"/>
          <w:sz w:val="32"/>
          <w:szCs w:val="32"/>
        </w:rPr>
        <w:t>范围内生产、经营、储存、运输和使用等全环节禁止。国家在特定行业可豁免使用的，从其规定。</w:t>
      </w:r>
    </w:p>
    <w:p w14:paraId="76A3B7CA">
      <w:pPr>
        <w:keepNext w:val="0"/>
        <w:keepLines w:val="0"/>
        <w:widowControl/>
        <w:suppressLineNumbers w:val="0"/>
        <w:ind w:firstLine="632"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val="0"/>
          <w:bCs w:val="0"/>
          <w:sz w:val="32"/>
          <w:szCs w:val="32"/>
        </w:rPr>
        <w:t>（二）危险化学品项目建设禁止。</w:t>
      </w:r>
      <w:r>
        <w:rPr>
          <w:rFonts w:hint="default" w:ascii="Times New Roman" w:hAnsi="Times New Roman" w:eastAsia="仿宋_GB2312" w:cs="Times New Roman"/>
          <w:sz w:val="32"/>
          <w:szCs w:val="32"/>
          <w:highlight w:val="none"/>
          <w:lang w:val="en-US" w:eastAsia="zh-CN"/>
        </w:rPr>
        <w:t>园区内不得规划新建炼油、乙烯、PX、MDI等类项目，</w:t>
      </w:r>
      <w:r>
        <w:rPr>
          <w:rFonts w:hint="default" w:ascii="Times New Roman" w:hAnsi="Times New Roman" w:eastAsia="仿宋_GB2312" w:cs="Times New Roman"/>
          <w:b w:val="0"/>
          <w:bCs w:val="0"/>
          <w:color w:val="000000"/>
          <w:kern w:val="0"/>
          <w:sz w:val="31"/>
          <w:szCs w:val="31"/>
          <w:lang w:val="en-US" w:eastAsia="zh-CN" w:bidi="ar"/>
        </w:rPr>
        <w:t>禁止引进《产业</w:t>
      </w:r>
      <w:r>
        <w:rPr>
          <w:rFonts w:hint="default" w:ascii="Times New Roman" w:hAnsi="Times New Roman" w:eastAsia="仿宋_GB2312" w:cs="Times New Roman"/>
          <w:sz w:val="32"/>
          <w:szCs w:val="32"/>
          <w:lang w:val="en-US" w:eastAsia="zh-CN"/>
        </w:rPr>
        <w:t>结构调整指导目录(2024年本)》(国家发改委令〔2023〕第7号)规定的“淘汰类”建设项目。禁止引进《淘汰落后危险化学品安全生产工艺技术 设备目录（第二批）》(应急厅〔2024〕86号)规定的淘汰落后生产工艺装备和产品建设项目。</w:t>
      </w:r>
    </w:p>
    <w:p w14:paraId="03B47195">
      <w:pPr>
        <w:shd w:val="solid" w:color="FFFFFF" w:fill="auto"/>
        <w:autoSpaceDN w:val="0"/>
        <w:spacing w:line="560" w:lineRule="exact"/>
        <w:ind w:firstLine="640"/>
        <w:rPr>
          <w:rFonts w:hint="default" w:ascii="Times New Roman" w:hAnsi="Times New Roman" w:eastAsia="仿宋" w:cs="Times New Roman"/>
          <w:sz w:val="32"/>
          <w:szCs w:val="32"/>
        </w:rPr>
      </w:pPr>
      <w:r>
        <w:rPr>
          <w:rFonts w:hint="default" w:ascii="Times New Roman" w:hAnsi="Times New Roman" w:eastAsia="楷体_GB2312" w:cs="Times New Roman"/>
          <w:b w:val="0"/>
          <w:bCs w:val="0"/>
          <w:sz w:val="32"/>
          <w:szCs w:val="32"/>
        </w:rPr>
        <w:t>（三）危险化学品运输禁止。</w:t>
      </w:r>
      <w:r>
        <w:rPr>
          <w:rFonts w:hint="default" w:ascii="Times New Roman" w:hAnsi="Times New Roman" w:eastAsia="仿宋_GB2312" w:cs="Times New Roman"/>
          <w:sz w:val="32"/>
          <w:szCs w:val="32"/>
          <w:lang w:eastAsia="zh-CN"/>
        </w:rPr>
        <w:t>划定</w:t>
      </w:r>
      <w:r>
        <w:rPr>
          <w:rFonts w:hint="default" w:ascii="Times New Roman" w:hAnsi="Times New Roman" w:eastAsia="仿宋_GB2312" w:cs="Times New Roman"/>
          <w:sz w:val="32"/>
          <w:szCs w:val="32"/>
        </w:rPr>
        <w:t>危化品运输车辆禁、限行区域，具体的禁、限行路线及禁、限行时间以公安、交通运输等相关部门交通管理要求为准。</w:t>
      </w:r>
    </w:p>
    <w:p w14:paraId="43E05981">
      <w:pPr>
        <w:spacing w:line="560" w:lineRule="exact"/>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三、限制和控制部分 </w:t>
      </w:r>
    </w:p>
    <w:p w14:paraId="0C025ABC">
      <w:pPr>
        <w:spacing w:line="56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（一）限制和控制危险化学品品种。</w:t>
      </w: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lang w:val="en-US" w:eastAsia="zh-CN"/>
        </w:rPr>
        <w:t>园区内</w:t>
      </w:r>
      <w:r>
        <w:rPr>
          <w:rFonts w:hint="default" w:ascii="Times New Roman" w:hAnsi="Times New Roman" w:eastAsia="仿宋_GB2312" w:cs="Times New Roman"/>
          <w:sz w:val="32"/>
          <w:szCs w:val="32"/>
        </w:rPr>
        <w:t>只可以生产、储存、经营、使用和运输列入《限制和控制区域危险化学品目录》（附件2）</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品种。</w:t>
      </w:r>
    </w:p>
    <w:p w14:paraId="1A1342E4">
      <w:pPr>
        <w:spacing w:line="56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未列入《限制和控制区域危险化学品目录》的其他危险化学品，在</w:t>
      </w:r>
      <w:r>
        <w:rPr>
          <w:rFonts w:hint="default" w:ascii="Times New Roman" w:hAnsi="Times New Roman" w:eastAsia="仿宋_GB2312" w:cs="Times New Roman"/>
          <w:sz w:val="32"/>
          <w:szCs w:val="32"/>
          <w:lang w:val="en-US" w:eastAsia="zh-CN"/>
        </w:rPr>
        <w:t>园区</w:t>
      </w:r>
      <w:r>
        <w:rPr>
          <w:rFonts w:hint="default" w:ascii="Times New Roman" w:hAnsi="Times New Roman" w:eastAsia="仿宋_GB2312" w:cs="Times New Roman"/>
          <w:sz w:val="32"/>
          <w:szCs w:val="32"/>
        </w:rPr>
        <w:t>范围</w:t>
      </w:r>
      <w:r>
        <w:rPr>
          <w:rFonts w:hint="default" w:ascii="Times New Roman" w:hAnsi="Times New Roman" w:eastAsia="仿宋_GB2312" w:cs="Times New Roman"/>
          <w:sz w:val="32"/>
          <w:szCs w:val="32"/>
          <w:lang w:eastAsia="zh-CN"/>
        </w:rPr>
        <w:t>内</w:t>
      </w:r>
      <w:r>
        <w:rPr>
          <w:rFonts w:hint="default" w:ascii="Times New Roman" w:hAnsi="Times New Roman" w:eastAsia="仿宋_GB2312" w:cs="Times New Roman"/>
          <w:sz w:val="32"/>
          <w:szCs w:val="32"/>
        </w:rPr>
        <w:t>只能以符合国家标准的试剂的形式进行流通。</w:t>
      </w:r>
    </w:p>
    <w:p w14:paraId="083E43BF">
      <w:pPr>
        <w:keepNext w:val="0"/>
        <w:keepLines w:val="0"/>
        <w:widowControl/>
        <w:suppressLineNumbers w:val="0"/>
        <w:ind w:firstLine="632" w:firstLineChars="200"/>
        <w:jc w:val="left"/>
        <w:rPr>
          <w:rFonts w:hint="default" w:ascii="Times New Roman" w:hAnsi="Times New Roman" w:eastAsia="仿宋_GB2312" w:cs="Times New Roman"/>
          <w:sz w:val="32"/>
          <w:szCs w:val="32"/>
          <w:highlight w:val="yellow"/>
          <w:lang w:val="en-US" w:eastAsia="zh-CN"/>
        </w:rPr>
      </w:pPr>
      <w:r>
        <w:rPr>
          <w:rFonts w:hint="default" w:ascii="Times New Roman" w:hAnsi="Times New Roman" w:eastAsia="楷体_GB2312" w:cs="Times New Roman"/>
          <w:b w:val="0"/>
          <w:bCs w:val="0"/>
          <w:sz w:val="32"/>
          <w:szCs w:val="32"/>
        </w:rPr>
        <w:t>（二）严格限制和控制高危化学品建设项目。</w:t>
      </w:r>
      <w:r>
        <w:rPr>
          <w:rFonts w:hint="default" w:ascii="Times New Roman" w:hAnsi="Times New Roman" w:eastAsia="仿宋_GB2312" w:cs="Times New Roman"/>
          <w:sz w:val="32"/>
          <w:szCs w:val="32"/>
        </w:rPr>
        <w:t>从严审批新建、改建、扩建涉及光气、硝化有机物及工艺、液氨、液氯、硝化纤维素、苯乙烯</w:t>
      </w:r>
      <w:r>
        <w:rPr>
          <w:rFonts w:hint="default" w:ascii="Times New Roman" w:hAnsi="Times New Roman" w:eastAsia="仿宋_GB2312" w:cs="Times New Roman"/>
          <w:sz w:val="32"/>
          <w:szCs w:val="32"/>
          <w:lang w:val="en-US" w:eastAsia="zh-CN"/>
        </w:rPr>
        <w:t>、乙烯、</w:t>
      </w:r>
      <w:r>
        <w:rPr>
          <w:rFonts w:hint="default" w:ascii="Times New Roman" w:hAnsi="Times New Roman" w:eastAsia="仿宋_GB2312" w:cs="Times New Roman"/>
          <w:sz w:val="32"/>
          <w:szCs w:val="32"/>
        </w:rPr>
        <w:t>硝酸铵、丙烯腈、环氧乙烷、氯乙烯等剧（高）毒、易燃、易爆高危化学品建设项目。</w:t>
      </w:r>
      <w:r>
        <w:rPr>
          <w:rFonts w:hint="default" w:ascii="Times New Roman" w:hAnsi="Times New Roman" w:eastAsia="仿宋_GB2312" w:cs="Times New Roman"/>
          <w:sz w:val="32"/>
          <w:szCs w:val="32"/>
          <w:lang w:val="en-US" w:eastAsia="zh-CN"/>
        </w:rPr>
        <w:t>限制引进《</w:t>
      </w:r>
      <w:bookmarkStart w:id="0" w:name="_GoBack"/>
      <w:bookmarkEnd w:id="0"/>
      <w:r>
        <w:rPr>
          <w:rFonts w:hint="default" w:ascii="Times New Roman" w:hAnsi="Times New Roman" w:eastAsia="仿宋_GB2312" w:cs="Times New Roman"/>
          <w:sz w:val="32"/>
          <w:szCs w:val="32"/>
          <w:lang w:val="en-US" w:eastAsia="zh-CN"/>
        </w:rPr>
        <w:t>产业结构调整指导目录(2024年本)》(国家发改委令〔2023〕第7号)规定的“限制类”建设项目。</w:t>
      </w:r>
      <w:r>
        <w:rPr>
          <w:rFonts w:hint="eastAsia" w:cs="Times New Roman"/>
          <w:sz w:val="32"/>
          <w:szCs w:val="32"/>
          <w:lang w:val="en-US" w:eastAsia="zh-CN"/>
        </w:rPr>
        <w:t>项目准入严格执行《关于进一步规范全省化工项目准入管理工作的通知》（辽发改工业〔2024〕66号）、《危险化学品生产建设项目安全风险防控指南（试行）》（</w:t>
      </w:r>
      <w:r>
        <w:rPr>
          <w:rFonts w:hint="default" w:cs="Times New Roman"/>
          <w:sz w:val="32"/>
          <w:szCs w:val="32"/>
          <w:lang w:val="en-US" w:eastAsia="zh-CN"/>
        </w:rPr>
        <w:t>应急〔2022〕52号</w:t>
      </w:r>
      <w:r>
        <w:rPr>
          <w:rFonts w:hint="eastAsia" w:cs="Times New Roman"/>
          <w:sz w:val="32"/>
          <w:szCs w:val="32"/>
          <w:lang w:val="en-US" w:eastAsia="zh-CN"/>
        </w:rPr>
        <w:t>）等文件要求</w:t>
      </w:r>
      <w:r>
        <w:rPr>
          <w:rFonts w:hint="eastAsia" w:cs="Times New Roman"/>
          <w:sz w:val="32"/>
          <w:szCs w:val="32"/>
          <w:lang w:val="en-US" w:eastAsia="zh-CN"/>
        </w:rPr>
        <w:t>。</w:t>
      </w:r>
    </w:p>
    <w:p w14:paraId="06D63759">
      <w:pPr>
        <w:keepNext w:val="0"/>
        <w:keepLines w:val="0"/>
        <w:widowControl/>
        <w:suppressLineNumbers w:val="0"/>
        <w:ind w:firstLine="632" w:firstLineChars="200"/>
        <w:jc w:val="left"/>
        <w:rPr>
          <w:rFonts w:hint="default" w:ascii="Times New Roman" w:hAnsi="Times New Roman" w:eastAsia="方正小标宋简体" w:cs="Times New Roman"/>
          <w:sz w:val="32"/>
          <w:szCs w:val="32"/>
          <w:shd w:val="clear" w:color="auto" w:fill="FFFFFF"/>
        </w:rPr>
      </w:pPr>
      <w:r>
        <w:rPr>
          <w:rFonts w:hint="default" w:ascii="Times New Roman" w:hAnsi="Times New Roman" w:eastAsia="楷体_GB2312" w:cs="Times New Roman"/>
          <w:b w:val="0"/>
          <w:bCs w:val="0"/>
          <w:sz w:val="32"/>
          <w:szCs w:val="32"/>
        </w:rPr>
        <w:t>（三）严格限制和控制危险化学品数量。</w:t>
      </w:r>
      <w:r>
        <w:rPr>
          <w:rFonts w:hint="default" w:ascii="Times New Roman" w:hAnsi="Times New Roman" w:eastAsia="仿宋_GB2312" w:cs="Times New Roman"/>
          <w:sz w:val="32"/>
          <w:szCs w:val="32"/>
          <w:lang w:val="en-US" w:eastAsia="zh-CN"/>
        </w:rPr>
        <w:t>园区内</w:t>
      </w:r>
      <w:r>
        <w:rPr>
          <w:rFonts w:hint="default" w:ascii="Times New Roman" w:hAnsi="Times New Roman" w:eastAsia="仿宋_GB2312" w:cs="Times New Roman"/>
          <w:sz w:val="32"/>
          <w:szCs w:val="32"/>
        </w:rPr>
        <w:t>危险化学品企业应严格控制和限制其储存和使用量，控制</w:t>
      </w:r>
      <w:r>
        <w:rPr>
          <w:rFonts w:hint="default" w:ascii="Times New Roman" w:hAnsi="Times New Roman" w:eastAsia="仿宋_GB2312" w:cs="Times New Roman"/>
          <w:sz w:val="32"/>
          <w:szCs w:val="32"/>
          <w:lang w:val="en-US" w:eastAsia="zh-CN"/>
        </w:rPr>
        <w:t>园区内</w:t>
      </w:r>
      <w:r>
        <w:rPr>
          <w:rFonts w:hint="default" w:ascii="Times New Roman" w:hAnsi="Times New Roman" w:eastAsia="仿宋_GB2312" w:cs="Times New Roman"/>
          <w:sz w:val="32"/>
          <w:szCs w:val="32"/>
        </w:rPr>
        <w:t>重大危险源总量，化解城市重大安全风险。鼓励危险化学品企业通过技术革新，采用非危险化学品替代危险化学品、危险性低的危险化学品替代危险性高的危险化学品。</w:t>
      </w:r>
    </w:p>
    <w:p w14:paraId="49B6E88C">
      <w:pPr>
        <w:spacing w:line="560" w:lineRule="exact"/>
        <w:outlineLvl w:val="0"/>
        <w:rPr>
          <w:rFonts w:hint="default" w:ascii="Times New Roman" w:hAnsi="Times New Roman" w:eastAsia="仿宋_GB2312" w:cs="Times New Roman"/>
          <w:szCs w:val="32"/>
        </w:rPr>
      </w:pPr>
      <w:r>
        <w:rPr>
          <w:rFonts w:hint="default" w:ascii="Times New Roman" w:hAnsi="Times New Roman" w:eastAsia="黑体" w:cs="Times New Roman"/>
          <w:sz w:val="32"/>
          <w:szCs w:val="32"/>
        </w:rPr>
        <w:t xml:space="preserve">    四、附则 </w:t>
      </w:r>
    </w:p>
    <w:p w14:paraId="100D3363">
      <w:pPr>
        <w:spacing w:line="56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目录》中《禁止危险化学品目录》为负面清单，《限制和控制区域危险化学品目录》为正面清单。《禁止危险化学品目录》列出国家明令禁止的对人类健康和环境造成重大影响、有持久性危害的危险化学品，以及未在我市流通的剧毒危险化学品和爆炸物。</w:t>
      </w:r>
    </w:p>
    <w:p w14:paraId="4267D578">
      <w:pPr>
        <w:spacing w:line="56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3.《目录》所述危险化学品生产，是</w:t>
      </w:r>
      <w:r>
        <w:rPr>
          <w:rFonts w:hint="default" w:ascii="Times New Roman" w:hAnsi="Times New Roman" w:eastAsia="仿宋_GB2312" w:cs="Times New Roman"/>
          <w:sz w:val="32"/>
          <w:szCs w:val="32"/>
          <w:lang w:eastAsia="zh-CN"/>
        </w:rPr>
        <w:t>指</w:t>
      </w:r>
      <w:r>
        <w:rPr>
          <w:rFonts w:hint="default" w:ascii="Times New Roman" w:hAnsi="Times New Roman" w:eastAsia="仿宋_GB2312" w:cs="Times New Roman"/>
          <w:sz w:val="32"/>
          <w:szCs w:val="32"/>
        </w:rPr>
        <w:t>以该危险化学品为主要中间产品或最终产品的生产。如果在生产过程中出现列入禁止目录中的难以消除的副产物，应当按照有关规定进行妥善处置。</w:t>
      </w:r>
    </w:p>
    <w:p w14:paraId="50DE78A9">
      <w:pPr>
        <w:spacing w:line="56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4.《目录》所</w:t>
      </w:r>
      <w:r>
        <w:rPr>
          <w:rFonts w:hint="default" w:ascii="Times New Roman" w:hAnsi="Times New Roman" w:eastAsia="仿宋_GB2312" w:cs="Times New Roman"/>
          <w:sz w:val="32"/>
          <w:szCs w:val="32"/>
          <w:lang w:eastAsia="zh-CN"/>
        </w:rPr>
        <w:t>称</w:t>
      </w:r>
      <w:r>
        <w:rPr>
          <w:rFonts w:hint="default" w:ascii="Times New Roman" w:hAnsi="Times New Roman" w:eastAsia="仿宋_GB2312" w:cs="Times New Roman"/>
          <w:sz w:val="32"/>
          <w:szCs w:val="32"/>
        </w:rPr>
        <w:t>危险化学品企业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是指生产、储存、使用、经营、运输危险化学品单位的统称。</w:t>
      </w:r>
    </w:p>
    <w:p w14:paraId="651641AB">
      <w:pPr>
        <w:autoSpaceDE w:val="0"/>
        <w:autoSpaceDN w:val="0"/>
        <w:adjustRightInd w:val="0"/>
        <w:spacing w:line="56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5.《目录》所</w:t>
      </w:r>
      <w:r>
        <w:rPr>
          <w:rFonts w:hint="default" w:ascii="Times New Roman" w:hAnsi="Times New Roman" w:eastAsia="仿宋_GB2312" w:cs="Times New Roman"/>
          <w:sz w:val="32"/>
          <w:szCs w:val="32"/>
          <w:lang w:eastAsia="zh-CN"/>
        </w:rPr>
        <w:t>称</w:t>
      </w:r>
      <w:r>
        <w:rPr>
          <w:rFonts w:hint="default" w:ascii="Times New Roman" w:hAnsi="Times New Roman" w:eastAsia="仿宋_GB2312" w:cs="Times New Roman"/>
          <w:sz w:val="32"/>
          <w:szCs w:val="32"/>
        </w:rPr>
        <w:t>危险化学品运输，是指道路运输。</w:t>
      </w:r>
    </w:p>
    <w:p w14:paraId="46BB1ADC">
      <w:pPr>
        <w:spacing w:line="56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6.《目录》所</w:t>
      </w:r>
      <w:r>
        <w:rPr>
          <w:rFonts w:hint="default" w:ascii="Times New Roman" w:hAnsi="Times New Roman" w:eastAsia="仿宋_GB2312" w:cs="Times New Roman"/>
          <w:sz w:val="32"/>
          <w:szCs w:val="32"/>
          <w:lang w:eastAsia="zh-CN"/>
        </w:rPr>
        <w:t>称</w:t>
      </w:r>
      <w:r>
        <w:rPr>
          <w:rFonts w:hint="default" w:ascii="Times New Roman" w:hAnsi="Times New Roman" w:eastAsia="仿宋_GB2312" w:cs="Times New Roman"/>
          <w:sz w:val="32"/>
          <w:szCs w:val="32"/>
        </w:rPr>
        <w:t>使用量达到规定数量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是指《危险化学品安全使用许可证实施办法》中《危险化学品使用量的数量标准（2013年版）》的最低年设计使用量。</w:t>
      </w:r>
    </w:p>
    <w:p w14:paraId="48AB24EE">
      <w:pPr>
        <w:spacing w:line="56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7.《目录》所</w:t>
      </w:r>
      <w:r>
        <w:rPr>
          <w:rFonts w:hint="default" w:ascii="Times New Roman" w:hAnsi="Times New Roman" w:eastAsia="仿宋_GB2312" w:cs="Times New Roman"/>
          <w:sz w:val="32"/>
          <w:szCs w:val="32"/>
          <w:lang w:eastAsia="zh-CN"/>
        </w:rPr>
        <w:t>称</w:t>
      </w:r>
      <w:r>
        <w:rPr>
          <w:rFonts w:hint="default" w:ascii="Times New Roman" w:hAnsi="Times New Roman" w:eastAsia="仿宋_GB2312" w:cs="Times New Roman"/>
          <w:sz w:val="32"/>
          <w:szCs w:val="32"/>
        </w:rPr>
        <w:t>试剂，是指单一包装单位液体不大于25升、固体不大于25千克包装</w:t>
      </w:r>
      <w:r>
        <w:rPr>
          <w:rFonts w:hint="default" w:ascii="Times New Roman" w:hAnsi="Times New Roman" w:eastAsia="仿宋_GB2312" w:cs="Times New Roman"/>
          <w:sz w:val="32"/>
          <w:szCs w:val="32"/>
          <w:shd w:val="clear" w:color="auto" w:fill="FFFFFF"/>
        </w:rPr>
        <w:t>、气体不大于50升气瓶</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试剂</w:t>
      </w:r>
      <w:r>
        <w:rPr>
          <w:rFonts w:hint="default" w:ascii="Times New Roman" w:hAnsi="Times New Roman" w:eastAsia="仿宋_GB2312" w:cs="Times New Roman"/>
          <w:sz w:val="32"/>
          <w:szCs w:val="32"/>
        </w:rPr>
        <w:t>根据需要</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rPr>
        <w:t>储存、使用和运输，但应符合《化学试剂包装及标志（GB 15346）》等危险化学品安全管理相关规定。</w:t>
      </w:r>
    </w:p>
    <w:p w14:paraId="03BAF368">
      <w:pPr>
        <w:spacing w:line="56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8.经营单位无危险化学品储存设施，或危险化学品储存设施不在本</w:t>
      </w:r>
      <w:r>
        <w:rPr>
          <w:rFonts w:hint="default" w:ascii="Times New Roman" w:hAnsi="Times New Roman" w:eastAsia="仿宋_GB2312" w:cs="Times New Roman"/>
          <w:sz w:val="32"/>
          <w:szCs w:val="32"/>
          <w:lang w:val="en-US" w:eastAsia="zh-CN"/>
        </w:rPr>
        <w:t>园区</w:t>
      </w:r>
      <w:r>
        <w:rPr>
          <w:rFonts w:hint="default" w:ascii="Times New Roman" w:hAnsi="Times New Roman" w:eastAsia="仿宋_GB2312" w:cs="Times New Roman"/>
          <w:sz w:val="32"/>
          <w:szCs w:val="32"/>
        </w:rPr>
        <w:t>范围内，其经营范围不受《严格限制和控制区域危险化学品目录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其他区</w:t>
      </w:r>
      <w:r>
        <w:rPr>
          <w:rFonts w:hint="default" w:ascii="Times New Roman" w:hAnsi="Times New Roman" w:eastAsia="仿宋_GB2312" w:cs="Times New Roman"/>
          <w:sz w:val="32"/>
          <w:szCs w:val="32"/>
          <w:lang w:eastAsia="zh-CN"/>
        </w:rPr>
        <w:t>域</w:t>
      </w:r>
      <w:r>
        <w:rPr>
          <w:rFonts w:hint="default" w:ascii="Times New Roman" w:hAnsi="Times New Roman" w:eastAsia="仿宋_GB2312" w:cs="Times New Roman"/>
          <w:sz w:val="32"/>
          <w:szCs w:val="32"/>
        </w:rPr>
        <w:t>危险化学品目录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限制。</w:t>
      </w:r>
    </w:p>
    <w:p w14:paraId="4268B836">
      <w:pPr>
        <w:spacing w:line="56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目录》列举的危险化学品在生产、储存、经营、运输和使用时，还应当遵守国家和省市关于危险化学品的其他规定。涉及需要履行国际公约的危险化学品的生产、储存、经营、运输和使用，还应当按照国家有关要求，到相应的部门办理相应手续。</w:t>
      </w:r>
    </w:p>
    <w:p w14:paraId="44B47C0D">
      <w:pPr>
        <w:spacing w:line="56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10.《目录》根据《危险化学品目录（2015版）》编制，《危险化学品目录（2015版）》如有修订，《目录》作相应调整。</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rPr>
        <w:t>不在《危险化学品目录（2015版）》内的其他危险物质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应根据相关法律法规进行安全管理。</w:t>
      </w:r>
    </w:p>
    <w:p w14:paraId="37329DF2">
      <w:pPr>
        <w:spacing w:line="560" w:lineRule="exact"/>
        <w:ind w:firstLine="632"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11.《目</w:t>
      </w:r>
      <w:r>
        <w:rPr>
          <w:rFonts w:hint="default" w:ascii="Times New Roman" w:hAnsi="Times New Roman" w:eastAsia="仿宋_GB2312" w:cs="Times New Roman"/>
          <w:sz w:val="32"/>
          <w:szCs w:val="32"/>
          <w:highlight w:val="none"/>
        </w:rPr>
        <w:t>录》</w:t>
      </w:r>
      <w:r>
        <w:rPr>
          <w:rFonts w:hint="default" w:ascii="Times New Roman" w:hAnsi="Times New Roman" w:eastAsia="仿宋_GB2312" w:cs="Times New Roman"/>
          <w:kern w:val="0"/>
          <w:sz w:val="32"/>
          <w:szCs w:val="32"/>
          <w:highlight w:val="none"/>
        </w:rPr>
        <w:t>自</w:t>
      </w:r>
      <w:r>
        <w:rPr>
          <w:rFonts w:hint="default" w:ascii="Times New Roman" w:hAnsi="Times New Roman" w:eastAsia="仿宋_GB2312" w:cs="Times New Roman"/>
          <w:kern w:val="0"/>
          <w:sz w:val="32"/>
          <w:szCs w:val="32"/>
          <w:highlight w:val="none"/>
          <w:lang w:val="en-US" w:eastAsia="zh-CN"/>
        </w:rPr>
        <w:t>2024年6月20日起</w:t>
      </w:r>
      <w:r>
        <w:rPr>
          <w:rFonts w:hint="default" w:ascii="Times New Roman" w:hAnsi="Times New Roman" w:eastAsia="仿宋_GB2312" w:cs="Times New Roman"/>
          <w:sz w:val="32"/>
          <w:szCs w:val="32"/>
          <w:highlight w:val="none"/>
        </w:rPr>
        <w:t>施行。</w:t>
      </w:r>
      <w:r>
        <w:rPr>
          <w:rFonts w:hint="default" w:ascii="Times New Roman" w:hAnsi="Times New Roman" w:eastAsia="仿宋_GB2312" w:cs="Times New Roman"/>
          <w:sz w:val="32"/>
          <w:szCs w:val="32"/>
          <w:highlight w:val="none"/>
          <w:lang w:eastAsia="zh-CN"/>
        </w:rPr>
        <w:t>同</w:t>
      </w:r>
      <w:r>
        <w:rPr>
          <w:rFonts w:hint="default" w:ascii="Times New Roman" w:hAnsi="Times New Roman" w:eastAsia="仿宋_GB2312" w:cs="Times New Roman"/>
          <w:sz w:val="32"/>
          <w:szCs w:val="32"/>
          <w:lang w:eastAsia="zh-CN"/>
        </w:rPr>
        <w:t>时</w:t>
      </w:r>
      <w:r>
        <w:rPr>
          <w:rFonts w:hint="default" w:ascii="Times New Roman" w:hAnsi="Times New Roman" w:eastAsia="仿宋_GB2312" w:cs="Times New Roman"/>
          <w:b w:val="0"/>
          <w:i w:val="0"/>
          <w:caps w:val="0"/>
          <w:color w:val="000000"/>
          <w:spacing w:val="0"/>
          <w:sz w:val="32"/>
          <w:szCs w:val="32"/>
          <w:shd w:val="clear" w:color="auto" w:fill="FFFFFF"/>
          <w:lang w:val="en-US" w:eastAsia="zh-CN"/>
        </w:rPr>
        <w:t>《关于印发大孤山化工区危险化学品禁止、限制和控制目录（试行）的通知》（大金普应急发〔2020〕135号）废止。</w:t>
      </w:r>
    </w:p>
    <w:p w14:paraId="6B66BAA9">
      <w:pPr>
        <w:spacing w:line="560" w:lineRule="exact"/>
        <w:rPr>
          <w:rFonts w:hint="default" w:ascii="Times New Roman" w:hAnsi="Times New Roman" w:eastAsia="仿宋_GB2312" w:cs="Times New Roman"/>
          <w:sz w:val="32"/>
          <w:szCs w:val="32"/>
        </w:rPr>
      </w:pPr>
    </w:p>
    <w:p w14:paraId="7B08E0EC">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附件：1.禁止危险化学品目录（</w:t>
      </w:r>
      <w:r>
        <w:rPr>
          <w:rFonts w:hint="default" w:ascii="Times New Roman" w:hAnsi="Times New Roman" w:eastAsia="仿宋_GB2312" w:cs="Times New Roman"/>
          <w:sz w:val="32"/>
          <w:szCs w:val="32"/>
          <w:lang w:eastAsia="zh-CN"/>
        </w:rPr>
        <w:t>共</w:t>
      </w:r>
      <w:r>
        <w:rPr>
          <w:rFonts w:hint="default" w:ascii="Times New Roman" w:hAnsi="Times New Roman" w:eastAsia="仿宋_GB2312" w:cs="Times New Roman"/>
          <w:sz w:val="32"/>
          <w:szCs w:val="32"/>
        </w:rPr>
        <w:t>230种）</w:t>
      </w:r>
    </w:p>
    <w:p w14:paraId="016EACBC">
      <w:pPr>
        <w:spacing w:line="560" w:lineRule="exact"/>
        <w:ind w:firstLine="1580" w:firstLineChars="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2.限制和控制危险化学品目录（</w:t>
      </w:r>
      <w:r>
        <w:rPr>
          <w:rFonts w:hint="default" w:ascii="Times New Roman" w:hAnsi="Times New Roman" w:eastAsia="仿宋_GB2312" w:cs="Times New Roman"/>
          <w:sz w:val="32"/>
          <w:szCs w:val="32"/>
          <w:lang w:eastAsia="zh-CN"/>
        </w:rPr>
        <w:t>共</w:t>
      </w:r>
      <w:r>
        <w:rPr>
          <w:rFonts w:hint="default" w:ascii="Times New Roman" w:hAnsi="Times New Roman" w:eastAsia="仿宋_GB2312" w:cs="Times New Roman"/>
          <w:sz w:val="32"/>
          <w:szCs w:val="32"/>
          <w:lang w:val="en-US" w:eastAsia="zh-CN"/>
        </w:rPr>
        <w:t>1333</w:t>
      </w:r>
      <w:r>
        <w:rPr>
          <w:rFonts w:hint="default" w:ascii="Times New Roman" w:hAnsi="Times New Roman" w:eastAsia="仿宋_GB2312" w:cs="Times New Roman"/>
          <w:sz w:val="32"/>
          <w:szCs w:val="32"/>
        </w:rPr>
        <w:t>种）</w:t>
      </w:r>
    </w:p>
    <w:p w14:paraId="0F328CD4">
      <w:pPr>
        <w:snapToGrid w:val="0"/>
        <w:spacing w:line="578" w:lineRule="exact"/>
        <w:rPr>
          <w:rFonts w:hint="default" w:ascii="Times New Roman" w:hAnsi="Times New Roman" w:cs="Times New Roman"/>
        </w:rPr>
      </w:pPr>
    </w:p>
    <w:p w14:paraId="03606825">
      <w:pPr>
        <w:pStyle w:val="4"/>
        <w:rPr>
          <w:rFonts w:hint="default" w:ascii="Times New Roman" w:hAnsi="Times New Roman" w:cs="Times New Roman"/>
        </w:rPr>
      </w:pPr>
    </w:p>
    <w:p w14:paraId="4CD315C0">
      <w:pPr>
        <w:pStyle w:val="4"/>
        <w:rPr>
          <w:rFonts w:hint="default" w:ascii="Times New Roman" w:hAnsi="Times New Roman" w:cs="Times New Roman"/>
        </w:rPr>
      </w:pPr>
    </w:p>
    <w:p w14:paraId="387246D1">
      <w:pPr>
        <w:pStyle w:val="4"/>
        <w:rPr>
          <w:rFonts w:hint="default" w:ascii="Times New Roman" w:hAnsi="Times New Roman" w:cs="Times New Roman"/>
        </w:rPr>
      </w:pPr>
    </w:p>
    <w:p w14:paraId="3B508906">
      <w:pPr>
        <w:pStyle w:val="4"/>
        <w:rPr>
          <w:rFonts w:hint="default" w:ascii="Times New Roman" w:hAnsi="Times New Roman" w:cs="Times New Roman"/>
        </w:rPr>
      </w:pPr>
    </w:p>
    <w:p w14:paraId="4956C3C4">
      <w:pPr>
        <w:pStyle w:val="4"/>
        <w:rPr>
          <w:rFonts w:hint="default" w:ascii="Times New Roman" w:hAnsi="Times New Roman" w:cs="Times New Roman"/>
        </w:rPr>
      </w:pPr>
    </w:p>
    <w:p w14:paraId="6FCC5A15">
      <w:pPr>
        <w:pStyle w:val="4"/>
        <w:rPr>
          <w:rFonts w:hint="default" w:ascii="Times New Roman" w:hAnsi="Times New Roman" w:cs="Times New Roman"/>
        </w:rPr>
      </w:pPr>
    </w:p>
    <w:p w14:paraId="31FC47C0">
      <w:pPr>
        <w:pStyle w:val="4"/>
        <w:rPr>
          <w:rFonts w:hint="default" w:ascii="Times New Roman" w:hAnsi="Times New Roman" w:cs="Times New Roman"/>
        </w:rPr>
      </w:pPr>
    </w:p>
    <w:p w14:paraId="429622FA">
      <w:pPr>
        <w:pStyle w:val="4"/>
        <w:rPr>
          <w:rFonts w:hint="default" w:ascii="Times New Roman" w:hAnsi="Times New Roman" w:cs="Times New Roman"/>
        </w:rPr>
      </w:pPr>
    </w:p>
    <w:p w14:paraId="58D8F6C8">
      <w:pPr>
        <w:pStyle w:val="4"/>
        <w:rPr>
          <w:rFonts w:hint="default" w:ascii="Times New Roman" w:hAnsi="Times New Roman" w:cs="Times New Roman"/>
        </w:rPr>
      </w:pPr>
    </w:p>
    <w:p w14:paraId="52B0E318">
      <w:pPr>
        <w:pStyle w:val="4"/>
      </w:pPr>
    </w:p>
    <w:sectPr>
      <w:headerReference r:id="rId3" w:type="default"/>
      <w:footerReference r:id="rId4" w:type="default"/>
      <w:footerReference r:id="rId5" w:type="even"/>
      <w:pgSz w:w="11906" w:h="16838"/>
      <w:pgMar w:top="2098" w:right="1474" w:bottom="1984" w:left="1587" w:header="851" w:footer="158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69950">
    <w:pPr>
      <w:pStyle w:val="7"/>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D9185B">
                          <w:pPr>
                            <w:pStyle w:val="7"/>
                            <w:rPr>
                              <w:rStyle w:val="15"/>
                              <w:rFonts w:hint="eastAsia" w:ascii="宋体" w:hAnsi="宋体" w:eastAsia="宋体"/>
                              <w:sz w:val="28"/>
                              <w:szCs w:val="28"/>
                            </w:rPr>
                          </w:pPr>
                          <w:r>
                            <w:rPr>
                              <w:rStyle w:val="15"/>
                              <w:rFonts w:hint="eastAsia" w:ascii="宋体" w:hAnsi="宋体" w:eastAsia="宋体"/>
                              <w:sz w:val="28"/>
                              <w:szCs w:val="28"/>
                            </w:rPr>
                            <w:t xml:space="preserve">— </w:t>
                          </w:r>
                          <w:r>
                            <w:rPr>
                              <w:rFonts w:ascii="宋体" w:hAnsi="宋体" w:eastAsia="宋体"/>
                              <w:sz w:val="28"/>
                              <w:szCs w:val="28"/>
                            </w:rPr>
                            <w:fldChar w:fldCharType="begin"/>
                          </w:r>
                          <w:r>
                            <w:rPr>
                              <w:rStyle w:val="15"/>
                              <w:rFonts w:ascii="宋体" w:hAnsi="宋体" w:eastAsia="宋体"/>
                              <w:sz w:val="28"/>
                              <w:szCs w:val="28"/>
                            </w:rPr>
                            <w:instrText xml:space="preserve">PAGE  </w:instrText>
                          </w:r>
                          <w:r>
                            <w:rPr>
                              <w:rFonts w:ascii="宋体" w:hAnsi="宋体" w:eastAsia="宋体"/>
                              <w:sz w:val="28"/>
                              <w:szCs w:val="28"/>
                            </w:rPr>
                            <w:fldChar w:fldCharType="separate"/>
                          </w:r>
                          <w:r>
                            <w:rPr>
                              <w:rStyle w:val="15"/>
                              <w:rFonts w:ascii="宋体" w:hAnsi="宋体" w:eastAsia="宋体"/>
                              <w:sz w:val="28"/>
                              <w:szCs w:val="28"/>
                            </w:rPr>
                            <w:t>4</w:t>
                          </w:r>
                          <w:r>
                            <w:rPr>
                              <w:rFonts w:ascii="宋体" w:hAnsi="宋体" w:eastAsia="宋体"/>
                              <w:sz w:val="28"/>
                              <w:szCs w:val="28"/>
                            </w:rPr>
                            <w:fldChar w:fldCharType="end"/>
                          </w:r>
                          <w:r>
                            <w:rPr>
                              <w:rStyle w:val="15"/>
                              <w:rFonts w:hint="eastAsia" w:ascii="宋体" w:hAnsi="宋体" w:eastAsia="宋体"/>
                              <w:sz w:val="28"/>
                              <w:szCs w:val="28"/>
                            </w:rPr>
                            <w:t xml:space="preserve"> —    </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1pt;height:144pt;width:144pt;mso-position-horizontal:outside;mso-position-horizontal-relative:margin;mso-wrap-style:none;z-index:251659264;mso-width-relative:page;mso-height-relative:page;" filled="f" stroked="f" coordsize="21600,21600" o:gfxdata="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CHXBfQAAAABQEAAA8AAAAAAAAAAQAgAAAAIgAAAGRycy9kb3ducmV2&#10;LnhtbFBLAQIUABQAAAAIAIdO4kCezzZeywEAAJwDAAAOAAAAAAAAAAEAIAAAAB8BAABkcnMvZTJv&#10;RG9jLnhtbFBLBQYAAAAABgAGAFkBAABcBQAAAAA=&#10;">
              <v:fill on="f" focussize="0,0"/>
              <v:stroke on="f"/>
              <v:imagedata o:title=""/>
              <o:lock v:ext="edit" aspectratio="f"/>
              <v:textbox inset="0mm,0mm,0mm,0mm" style="mso-fit-shape-to-text:t;">
                <w:txbxContent>
                  <w:p w14:paraId="4FD9185B">
                    <w:pPr>
                      <w:pStyle w:val="7"/>
                      <w:rPr>
                        <w:rStyle w:val="15"/>
                        <w:rFonts w:hint="eastAsia" w:ascii="宋体" w:hAnsi="宋体" w:eastAsia="宋体"/>
                        <w:sz w:val="28"/>
                        <w:szCs w:val="28"/>
                      </w:rPr>
                    </w:pPr>
                    <w:r>
                      <w:rPr>
                        <w:rStyle w:val="15"/>
                        <w:rFonts w:hint="eastAsia" w:ascii="宋体" w:hAnsi="宋体" w:eastAsia="宋体"/>
                        <w:sz w:val="28"/>
                        <w:szCs w:val="28"/>
                      </w:rPr>
                      <w:t xml:space="preserve">— </w:t>
                    </w:r>
                    <w:r>
                      <w:rPr>
                        <w:rFonts w:ascii="宋体" w:hAnsi="宋体" w:eastAsia="宋体"/>
                        <w:sz w:val="28"/>
                        <w:szCs w:val="28"/>
                      </w:rPr>
                      <w:fldChar w:fldCharType="begin"/>
                    </w:r>
                    <w:r>
                      <w:rPr>
                        <w:rStyle w:val="15"/>
                        <w:rFonts w:ascii="宋体" w:hAnsi="宋体" w:eastAsia="宋体"/>
                        <w:sz w:val="28"/>
                        <w:szCs w:val="28"/>
                      </w:rPr>
                      <w:instrText xml:space="preserve">PAGE  </w:instrText>
                    </w:r>
                    <w:r>
                      <w:rPr>
                        <w:rFonts w:ascii="宋体" w:hAnsi="宋体" w:eastAsia="宋体"/>
                        <w:sz w:val="28"/>
                        <w:szCs w:val="28"/>
                      </w:rPr>
                      <w:fldChar w:fldCharType="separate"/>
                    </w:r>
                    <w:r>
                      <w:rPr>
                        <w:rStyle w:val="15"/>
                        <w:rFonts w:ascii="宋体" w:hAnsi="宋体" w:eastAsia="宋体"/>
                        <w:sz w:val="28"/>
                        <w:szCs w:val="28"/>
                      </w:rPr>
                      <w:t>4</w:t>
                    </w:r>
                    <w:r>
                      <w:rPr>
                        <w:rFonts w:ascii="宋体" w:hAnsi="宋体" w:eastAsia="宋体"/>
                        <w:sz w:val="28"/>
                        <w:szCs w:val="28"/>
                      </w:rPr>
                      <w:fldChar w:fldCharType="end"/>
                    </w:r>
                    <w:r>
                      <w:rPr>
                        <w:rStyle w:val="15"/>
                        <w:rFonts w:hint="eastAsia" w:ascii="宋体" w:hAnsi="宋体" w:eastAsia="宋体"/>
                        <w:sz w:val="28"/>
                        <w:szCs w:val="28"/>
                      </w:rPr>
                      <w:t xml:space="preserve"> —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0596A">
    <w:pPr>
      <w:pStyle w:val="7"/>
      <w:ind w:right="360"/>
      <w:rPr>
        <w:rFonts w:hint="eastAsia"/>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1270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6C00B9">
                          <w:pPr>
                            <w:pStyle w:val="7"/>
                            <w:ind w:firstLine="280" w:firstLineChars="100"/>
                            <w:rPr>
                              <w:rStyle w:val="15"/>
                              <w:rFonts w:ascii="宋体" w:hAnsi="宋体" w:eastAsia="宋体"/>
                              <w:sz w:val="28"/>
                              <w:szCs w:val="28"/>
                            </w:rPr>
                          </w:pPr>
                          <w:r>
                            <w:rPr>
                              <w:rStyle w:val="15"/>
                              <w:rFonts w:hint="eastAsia" w:ascii="宋体" w:hAnsi="宋体" w:eastAsia="宋体"/>
                              <w:sz w:val="28"/>
                              <w:szCs w:val="28"/>
                            </w:rPr>
                            <w:t xml:space="preserve">— </w:t>
                          </w:r>
                          <w:r>
                            <w:rPr>
                              <w:rFonts w:ascii="宋体" w:hAnsi="宋体" w:eastAsia="宋体"/>
                              <w:sz w:val="28"/>
                              <w:szCs w:val="28"/>
                            </w:rPr>
                            <w:fldChar w:fldCharType="begin"/>
                          </w:r>
                          <w:r>
                            <w:rPr>
                              <w:rStyle w:val="15"/>
                              <w:rFonts w:ascii="宋体" w:hAnsi="宋体" w:eastAsia="宋体"/>
                              <w:sz w:val="28"/>
                              <w:szCs w:val="28"/>
                            </w:rPr>
                            <w:instrText xml:space="preserve">PAGE  </w:instrText>
                          </w:r>
                          <w:r>
                            <w:rPr>
                              <w:rFonts w:ascii="宋体" w:hAnsi="宋体" w:eastAsia="宋体"/>
                              <w:sz w:val="28"/>
                              <w:szCs w:val="28"/>
                            </w:rPr>
                            <w:fldChar w:fldCharType="separate"/>
                          </w:r>
                          <w:r>
                            <w:rPr>
                              <w:rStyle w:val="15"/>
                              <w:rFonts w:ascii="宋体" w:hAnsi="宋体" w:eastAsia="宋体"/>
                              <w:sz w:val="28"/>
                              <w:szCs w:val="28"/>
                            </w:rPr>
                            <w:t>8</w:t>
                          </w:r>
                          <w:r>
                            <w:rPr>
                              <w:rFonts w:ascii="宋体" w:hAnsi="宋体" w:eastAsia="宋体"/>
                              <w:sz w:val="28"/>
                              <w:szCs w:val="28"/>
                            </w:rPr>
                            <w:fldChar w:fldCharType="end"/>
                          </w:r>
                          <w:r>
                            <w:rPr>
                              <w:rStyle w:val="15"/>
                              <w:rFonts w:hint="eastAsia" w:ascii="宋体" w:hAnsi="宋体" w:eastAsia="宋体"/>
                              <w:sz w:val="28"/>
                              <w:szCs w:val="28"/>
                            </w:rPr>
                            <w:t xml:space="preserve"> —</w:t>
                          </w:r>
                        </w:p>
                      </w:txbxContent>
                    </wps:txbx>
                    <wps:bodyPr wrap="none" lIns="0" tIns="0" rIns="0" bIns="0" upright="0">
                      <a:spAutoFit/>
                    </wps:bodyPr>
                  </wps:wsp>
                </a:graphicData>
              </a:graphic>
            </wp:anchor>
          </w:drawing>
        </mc:Choice>
        <mc:Fallback>
          <w:pict>
            <v:shape id="文本框 1027" o:spid="_x0000_s1026" o:spt="202" type="#_x0000_t202" style="position:absolute;left:0pt;margin-top:0.1pt;height:144pt;width:144pt;mso-position-horizontal:outside;mso-position-horizontal-relative:margin;mso-wrap-style:none;z-index:251660288;mso-width-relative:page;mso-height-relative:page;" filled="f" stroked="f" coordsize="21600,21600" o:gfxdata="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IdcF9AAAAAFAQAADwAAAAAAAAABACAAAAAiAAAAZHJzL2Rvd25yZXYu&#10;eG1sUEsBAhQAFAAAAAgAh07iQGx8/rLKAQAAnAMAAA4AAAAAAAAAAQAgAAAAHwEAAGRycy9lMm9E&#10;b2MueG1sUEsFBgAAAAAGAAYAWQEAAFsFAAAAAA==&#10;">
              <v:fill on="f" focussize="0,0"/>
              <v:stroke on="f"/>
              <v:imagedata o:title=""/>
              <o:lock v:ext="edit" aspectratio="f"/>
              <v:textbox inset="0mm,0mm,0mm,0mm" style="mso-fit-shape-to-text:t;">
                <w:txbxContent>
                  <w:p w14:paraId="496C00B9">
                    <w:pPr>
                      <w:pStyle w:val="7"/>
                      <w:ind w:firstLine="280" w:firstLineChars="100"/>
                      <w:rPr>
                        <w:rStyle w:val="15"/>
                        <w:rFonts w:ascii="宋体" w:hAnsi="宋体" w:eastAsia="宋体"/>
                        <w:sz w:val="28"/>
                        <w:szCs w:val="28"/>
                      </w:rPr>
                    </w:pPr>
                    <w:r>
                      <w:rPr>
                        <w:rStyle w:val="15"/>
                        <w:rFonts w:hint="eastAsia" w:ascii="宋体" w:hAnsi="宋体" w:eastAsia="宋体"/>
                        <w:sz w:val="28"/>
                        <w:szCs w:val="28"/>
                      </w:rPr>
                      <w:t xml:space="preserve">— </w:t>
                    </w:r>
                    <w:r>
                      <w:rPr>
                        <w:rFonts w:ascii="宋体" w:hAnsi="宋体" w:eastAsia="宋体"/>
                        <w:sz w:val="28"/>
                        <w:szCs w:val="28"/>
                      </w:rPr>
                      <w:fldChar w:fldCharType="begin"/>
                    </w:r>
                    <w:r>
                      <w:rPr>
                        <w:rStyle w:val="15"/>
                        <w:rFonts w:ascii="宋体" w:hAnsi="宋体" w:eastAsia="宋体"/>
                        <w:sz w:val="28"/>
                        <w:szCs w:val="28"/>
                      </w:rPr>
                      <w:instrText xml:space="preserve">PAGE  </w:instrText>
                    </w:r>
                    <w:r>
                      <w:rPr>
                        <w:rFonts w:ascii="宋体" w:hAnsi="宋体" w:eastAsia="宋体"/>
                        <w:sz w:val="28"/>
                        <w:szCs w:val="28"/>
                      </w:rPr>
                      <w:fldChar w:fldCharType="separate"/>
                    </w:r>
                    <w:r>
                      <w:rPr>
                        <w:rStyle w:val="15"/>
                        <w:rFonts w:ascii="宋体" w:hAnsi="宋体" w:eastAsia="宋体"/>
                        <w:sz w:val="28"/>
                        <w:szCs w:val="28"/>
                      </w:rPr>
                      <w:t>8</w:t>
                    </w:r>
                    <w:r>
                      <w:rPr>
                        <w:rFonts w:ascii="宋体" w:hAnsi="宋体" w:eastAsia="宋体"/>
                        <w:sz w:val="28"/>
                        <w:szCs w:val="28"/>
                      </w:rPr>
                      <w:fldChar w:fldCharType="end"/>
                    </w:r>
                    <w:r>
                      <w:rPr>
                        <w:rStyle w:val="15"/>
                        <w:rFonts w:hint="eastAsia" w:ascii="宋体" w:hAnsi="宋体" w:eastAsia="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ACDEE">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3E65C8"/>
    <w:multiLevelType w:val="singleLevel"/>
    <w:tmpl w:val="FF3E65C8"/>
    <w:lvl w:ilvl="0" w:tentative="0">
      <w:start w:val="1"/>
      <w:numFmt w:val="chineseCounting"/>
      <w:suff w:val="nothing"/>
      <w:lvlText w:val="%1、"/>
      <w:lvlJc w:val="left"/>
      <w:rPr>
        <w:rFonts w:hint="eastAsia"/>
      </w:rPr>
    </w:lvl>
  </w:abstractNum>
  <w:abstractNum w:abstractNumId="1">
    <w:nsid w:val="4AFAC0BE"/>
    <w:multiLevelType w:val="singleLevel"/>
    <w:tmpl w:val="4AFAC0BE"/>
    <w:lvl w:ilvl="0" w:tentative="0">
      <w:start w:val="2"/>
      <w:numFmt w:val="chineseCounting"/>
      <w:suff w:val="nothing"/>
      <w:lvlText w:val="（%1）"/>
      <w:lvlJc w:val="left"/>
      <w:rPr>
        <w:rFonts w:hint="eastAsia" w:ascii="楷体" w:hAnsi="楷体" w:eastAsia="楷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57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yYTFiNzU2NGE0NzQxYzhlNjI0MWQ1NDI4MGRiOTMifQ=="/>
  </w:docVars>
  <w:rsids>
    <w:rsidRoot w:val="00DE4474"/>
    <w:rsid w:val="00001764"/>
    <w:rsid w:val="0000351D"/>
    <w:rsid w:val="00006FA7"/>
    <w:rsid w:val="00010B14"/>
    <w:rsid w:val="00011095"/>
    <w:rsid w:val="0001236E"/>
    <w:rsid w:val="000149C2"/>
    <w:rsid w:val="0002004B"/>
    <w:rsid w:val="000209CE"/>
    <w:rsid w:val="00024B32"/>
    <w:rsid w:val="00031AF3"/>
    <w:rsid w:val="000405EE"/>
    <w:rsid w:val="0004159B"/>
    <w:rsid w:val="00041B6F"/>
    <w:rsid w:val="00042DB9"/>
    <w:rsid w:val="000435B8"/>
    <w:rsid w:val="00056CA0"/>
    <w:rsid w:val="0006043C"/>
    <w:rsid w:val="000626B3"/>
    <w:rsid w:val="000640A4"/>
    <w:rsid w:val="00065EFD"/>
    <w:rsid w:val="000667A6"/>
    <w:rsid w:val="000703D8"/>
    <w:rsid w:val="00077D9F"/>
    <w:rsid w:val="00081D0C"/>
    <w:rsid w:val="000827EB"/>
    <w:rsid w:val="00082A8A"/>
    <w:rsid w:val="00083963"/>
    <w:rsid w:val="00084E7E"/>
    <w:rsid w:val="0009190E"/>
    <w:rsid w:val="000934C1"/>
    <w:rsid w:val="000954E6"/>
    <w:rsid w:val="00095BF0"/>
    <w:rsid w:val="00095FEE"/>
    <w:rsid w:val="000A17D2"/>
    <w:rsid w:val="000A22F8"/>
    <w:rsid w:val="000A2387"/>
    <w:rsid w:val="000A28DB"/>
    <w:rsid w:val="000A4007"/>
    <w:rsid w:val="000A64B3"/>
    <w:rsid w:val="000A6730"/>
    <w:rsid w:val="000B2002"/>
    <w:rsid w:val="000B3AB9"/>
    <w:rsid w:val="000B411C"/>
    <w:rsid w:val="000C23C6"/>
    <w:rsid w:val="000D070A"/>
    <w:rsid w:val="000D4441"/>
    <w:rsid w:val="000D485F"/>
    <w:rsid w:val="000E1D6C"/>
    <w:rsid w:val="000E2288"/>
    <w:rsid w:val="000E4B40"/>
    <w:rsid w:val="000F0384"/>
    <w:rsid w:val="000F1B65"/>
    <w:rsid w:val="000F1BC7"/>
    <w:rsid w:val="000F281D"/>
    <w:rsid w:val="000F47A8"/>
    <w:rsid w:val="000F5012"/>
    <w:rsid w:val="000F6148"/>
    <w:rsid w:val="000F6E0E"/>
    <w:rsid w:val="00101DD4"/>
    <w:rsid w:val="00102646"/>
    <w:rsid w:val="00110054"/>
    <w:rsid w:val="0011123B"/>
    <w:rsid w:val="00121D07"/>
    <w:rsid w:val="00123101"/>
    <w:rsid w:val="00124683"/>
    <w:rsid w:val="001249D1"/>
    <w:rsid w:val="00127E16"/>
    <w:rsid w:val="00133413"/>
    <w:rsid w:val="001340A1"/>
    <w:rsid w:val="00135C7A"/>
    <w:rsid w:val="00135DE5"/>
    <w:rsid w:val="00137962"/>
    <w:rsid w:val="00143166"/>
    <w:rsid w:val="00145809"/>
    <w:rsid w:val="00147128"/>
    <w:rsid w:val="00150C1C"/>
    <w:rsid w:val="00151109"/>
    <w:rsid w:val="00151957"/>
    <w:rsid w:val="00152FF0"/>
    <w:rsid w:val="00156BCB"/>
    <w:rsid w:val="001644BE"/>
    <w:rsid w:val="0016460A"/>
    <w:rsid w:val="00165D0C"/>
    <w:rsid w:val="00167D24"/>
    <w:rsid w:val="001705BD"/>
    <w:rsid w:val="00171930"/>
    <w:rsid w:val="00171F5E"/>
    <w:rsid w:val="00172C64"/>
    <w:rsid w:val="00172E39"/>
    <w:rsid w:val="001749FE"/>
    <w:rsid w:val="001754B6"/>
    <w:rsid w:val="00184DBB"/>
    <w:rsid w:val="001902D7"/>
    <w:rsid w:val="001971E1"/>
    <w:rsid w:val="001A309E"/>
    <w:rsid w:val="001A37C8"/>
    <w:rsid w:val="001A55CB"/>
    <w:rsid w:val="001A5793"/>
    <w:rsid w:val="001A5DA9"/>
    <w:rsid w:val="001B0B77"/>
    <w:rsid w:val="001B1B89"/>
    <w:rsid w:val="001B2A59"/>
    <w:rsid w:val="001C0713"/>
    <w:rsid w:val="001C0AE2"/>
    <w:rsid w:val="001C306C"/>
    <w:rsid w:val="001C4902"/>
    <w:rsid w:val="001C7C58"/>
    <w:rsid w:val="001D06F3"/>
    <w:rsid w:val="001D12A7"/>
    <w:rsid w:val="001D3344"/>
    <w:rsid w:val="001D53CA"/>
    <w:rsid w:val="001D604A"/>
    <w:rsid w:val="001D6723"/>
    <w:rsid w:val="001E4441"/>
    <w:rsid w:val="001F47A3"/>
    <w:rsid w:val="001F5918"/>
    <w:rsid w:val="001F5D30"/>
    <w:rsid w:val="001F645B"/>
    <w:rsid w:val="001F6504"/>
    <w:rsid w:val="001F6910"/>
    <w:rsid w:val="002006F9"/>
    <w:rsid w:val="002062EA"/>
    <w:rsid w:val="00206F2C"/>
    <w:rsid w:val="00210A18"/>
    <w:rsid w:val="00212C4D"/>
    <w:rsid w:val="0021611C"/>
    <w:rsid w:val="0021624A"/>
    <w:rsid w:val="00223690"/>
    <w:rsid w:val="0022698C"/>
    <w:rsid w:val="00231F66"/>
    <w:rsid w:val="002322DB"/>
    <w:rsid w:val="00232A87"/>
    <w:rsid w:val="00232B81"/>
    <w:rsid w:val="002346DD"/>
    <w:rsid w:val="0023590C"/>
    <w:rsid w:val="00236E3F"/>
    <w:rsid w:val="00236EE0"/>
    <w:rsid w:val="0024117D"/>
    <w:rsid w:val="00242C14"/>
    <w:rsid w:val="0024567F"/>
    <w:rsid w:val="00245D41"/>
    <w:rsid w:val="0025061C"/>
    <w:rsid w:val="00251005"/>
    <w:rsid w:val="002512CB"/>
    <w:rsid w:val="0026057D"/>
    <w:rsid w:val="00262BB4"/>
    <w:rsid w:val="00277718"/>
    <w:rsid w:val="00277AFE"/>
    <w:rsid w:val="00290B74"/>
    <w:rsid w:val="00290E7D"/>
    <w:rsid w:val="00291033"/>
    <w:rsid w:val="00294F91"/>
    <w:rsid w:val="00295172"/>
    <w:rsid w:val="00297DB0"/>
    <w:rsid w:val="002A3CB4"/>
    <w:rsid w:val="002B1630"/>
    <w:rsid w:val="002B182B"/>
    <w:rsid w:val="002B26D8"/>
    <w:rsid w:val="002B481A"/>
    <w:rsid w:val="002C11CE"/>
    <w:rsid w:val="002C1CD9"/>
    <w:rsid w:val="002C55D0"/>
    <w:rsid w:val="002C62B7"/>
    <w:rsid w:val="002D6B29"/>
    <w:rsid w:val="002D7E48"/>
    <w:rsid w:val="002E319C"/>
    <w:rsid w:val="002E3ADA"/>
    <w:rsid w:val="002E4D8E"/>
    <w:rsid w:val="002F10E9"/>
    <w:rsid w:val="002F4CF6"/>
    <w:rsid w:val="002F5D9F"/>
    <w:rsid w:val="00303190"/>
    <w:rsid w:val="003062FB"/>
    <w:rsid w:val="00306883"/>
    <w:rsid w:val="00310945"/>
    <w:rsid w:val="00311E92"/>
    <w:rsid w:val="0031375C"/>
    <w:rsid w:val="00314214"/>
    <w:rsid w:val="00314290"/>
    <w:rsid w:val="00316FCC"/>
    <w:rsid w:val="003226D0"/>
    <w:rsid w:val="003249F8"/>
    <w:rsid w:val="0032650B"/>
    <w:rsid w:val="00341F41"/>
    <w:rsid w:val="0034328E"/>
    <w:rsid w:val="00347C14"/>
    <w:rsid w:val="0035028C"/>
    <w:rsid w:val="003503A0"/>
    <w:rsid w:val="003520B7"/>
    <w:rsid w:val="0035490B"/>
    <w:rsid w:val="003605E4"/>
    <w:rsid w:val="00361CC3"/>
    <w:rsid w:val="00361DB7"/>
    <w:rsid w:val="00361FA9"/>
    <w:rsid w:val="00362642"/>
    <w:rsid w:val="0036595F"/>
    <w:rsid w:val="003672B3"/>
    <w:rsid w:val="00372481"/>
    <w:rsid w:val="00373585"/>
    <w:rsid w:val="00373A84"/>
    <w:rsid w:val="00373AEA"/>
    <w:rsid w:val="00373AF3"/>
    <w:rsid w:val="00373B04"/>
    <w:rsid w:val="00374779"/>
    <w:rsid w:val="003768AA"/>
    <w:rsid w:val="00381250"/>
    <w:rsid w:val="0038520F"/>
    <w:rsid w:val="00390A76"/>
    <w:rsid w:val="00391759"/>
    <w:rsid w:val="00391C6B"/>
    <w:rsid w:val="00393DC4"/>
    <w:rsid w:val="00394859"/>
    <w:rsid w:val="00396F29"/>
    <w:rsid w:val="0039708B"/>
    <w:rsid w:val="003A1F28"/>
    <w:rsid w:val="003A2CD7"/>
    <w:rsid w:val="003A3F6A"/>
    <w:rsid w:val="003B2A07"/>
    <w:rsid w:val="003B32DB"/>
    <w:rsid w:val="003B5299"/>
    <w:rsid w:val="003B55A4"/>
    <w:rsid w:val="003B5CBF"/>
    <w:rsid w:val="003C3827"/>
    <w:rsid w:val="003C3D7B"/>
    <w:rsid w:val="003C42A3"/>
    <w:rsid w:val="003C5F03"/>
    <w:rsid w:val="003C6DA0"/>
    <w:rsid w:val="003D1159"/>
    <w:rsid w:val="003D3F1A"/>
    <w:rsid w:val="003E6B96"/>
    <w:rsid w:val="003E7367"/>
    <w:rsid w:val="003F03C8"/>
    <w:rsid w:val="003F7700"/>
    <w:rsid w:val="00401FFE"/>
    <w:rsid w:val="004140E5"/>
    <w:rsid w:val="00414130"/>
    <w:rsid w:val="00417AFD"/>
    <w:rsid w:val="004209D7"/>
    <w:rsid w:val="00420F90"/>
    <w:rsid w:val="004220D6"/>
    <w:rsid w:val="00426C8E"/>
    <w:rsid w:val="004276FF"/>
    <w:rsid w:val="004339C7"/>
    <w:rsid w:val="0043562C"/>
    <w:rsid w:val="00436D33"/>
    <w:rsid w:val="00437D85"/>
    <w:rsid w:val="004406C1"/>
    <w:rsid w:val="004425A1"/>
    <w:rsid w:val="004425ED"/>
    <w:rsid w:val="00443CB7"/>
    <w:rsid w:val="00444903"/>
    <w:rsid w:val="00446370"/>
    <w:rsid w:val="00446E96"/>
    <w:rsid w:val="004502AD"/>
    <w:rsid w:val="0045276E"/>
    <w:rsid w:val="004553A8"/>
    <w:rsid w:val="0046056B"/>
    <w:rsid w:val="0046458A"/>
    <w:rsid w:val="00464E5E"/>
    <w:rsid w:val="004665EE"/>
    <w:rsid w:val="00470D81"/>
    <w:rsid w:val="00472312"/>
    <w:rsid w:val="004723D6"/>
    <w:rsid w:val="00473B68"/>
    <w:rsid w:val="00475B7E"/>
    <w:rsid w:val="0047678C"/>
    <w:rsid w:val="0047724D"/>
    <w:rsid w:val="00481830"/>
    <w:rsid w:val="00482181"/>
    <w:rsid w:val="00482C36"/>
    <w:rsid w:val="00484421"/>
    <w:rsid w:val="00484B55"/>
    <w:rsid w:val="00487513"/>
    <w:rsid w:val="00490B57"/>
    <w:rsid w:val="0049395E"/>
    <w:rsid w:val="00495156"/>
    <w:rsid w:val="00497F2C"/>
    <w:rsid w:val="004A00FB"/>
    <w:rsid w:val="004A1145"/>
    <w:rsid w:val="004B2939"/>
    <w:rsid w:val="004B4F80"/>
    <w:rsid w:val="004B73C7"/>
    <w:rsid w:val="004C1AAB"/>
    <w:rsid w:val="004C333B"/>
    <w:rsid w:val="004C3356"/>
    <w:rsid w:val="004C3793"/>
    <w:rsid w:val="004C3B1B"/>
    <w:rsid w:val="004C4D83"/>
    <w:rsid w:val="004C51C2"/>
    <w:rsid w:val="004C5E2C"/>
    <w:rsid w:val="004C6507"/>
    <w:rsid w:val="004C67F8"/>
    <w:rsid w:val="004D331D"/>
    <w:rsid w:val="004D5FBE"/>
    <w:rsid w:val="004D600B"/>
    <w:rsid w:val="004E3BCD"/>
    <w:rsid w:val="004E47AA"/>
    <w:rsid w:val="004E61A1"/>
    <w:rsid w:val="004F3190"/>
    <w:rsid w:val="005011D8"/>
    <w:rsid w:val="0050129F"/>
    <w:rsid w:val="005027AE"/>
    <w:rsid w:val="00511715"/>
    <w:rsid w:val="00511F70"/>
    <w:rsid w:val="0051348C"/>
    <w:rsid w:val="005151F9"/>
    <w:rsid w:val="00520B04"/>
    <w:rsid w:val="00521474"/>
    <w:rsid w:val="00526327"/>
    <w:rsid w:val="00537D46"/>
    <w:rsid w:val="00545D98"/>
    <w:rsid w:val="0054732F"/>
    <w:rsid w:val="00550EF2"/>
    <w:rsid w:val="0055303D"/>
    <w:rsid w:val="00553ED9"/>
    <w:rsid w:val="00560B09"/>
    <w:rsid w:val="00563E2C"/>
    <w:rsid w:val="00564AE1"/>
    <w:rsid w:val="00565232"/>
    <w:rsid w:val="00565AF5"/>
    <w:rsid w:val="00571868"/>
    <w:rsid w:val="00572621"/>
    <w:rsid w:val="00573C68"/>
    <w:rsid w:val="00581D80"/>
    <w:rsid w:val="00584A69"/>
    <w:rsid w:val="00587350"/>
    <w:rsid w:val="00587D0F"/>
    <w:rsid w:val="00590553"/>
    <w:rsid w:val="00590C8F"/>
    <w:rsid w:val="00594F48"/>
    <w:rsid w:val="005C176C"/>
    <w:rsid w:val="005C1DE2"/>
    <w:rsid w:val="005C3B9F"/>
    <w:rsid w:val="005C63C6"/>
    <w:rsid w:val="005C73FE"/>
    <w:rsid w:val="005D0AC2"/>
    <w:rsid w:val="005D188A"/>
    <w:rsid w:val="005E2377"/>
    <w:rsid w:val="005E6DE8"/>
    <w:rsid w:val="005E794A"/>
    <w:rsid w:val="005F3386"/>
    <w:rsid w:val="005F389B"/>
    <w:rsid w:val="005F41C3"/>
    <w:rsid w:val="00600B60"/>
    <w:rsid w:val="00600F59"/>
    <w:rsid w:val="00602B8A"/>
    <w:rsid w:val="006051F2"/>
    <w:rsid w:val="00605F2C"/>
    <w:rsid w:val="00610867"/>
    <w:rsid w:val="00611B0A"/>
    <w:rsid w:val="006125D0"/>
    <w:rsid w:val="00613D0D"/>
    <w:rsid w:val="006148CF"/>
    <w:rsid w:val="00632D88"/>
    <w:rsid w:val="00633C6E"/>
    <w:rsid w:val="006508A7"/>
    <w:rsid w:val="00652099"/>
    <w:rsid w:val="0065376F"/>
    <w:rsid w:val="00654642"/>
    <w:rsid w:val="00655A63"/>
    <w:rsid w:val="00657DCB"/>
    <w:rsid w:val="0066175E"/>
    <w:rsid w:val="00662DDA"/>
    <w:rsid w:val="00666277"/>
    <w:rsid w:val="006668B1"/>
    <w:rsid w:val="00670744"/>
    <w:rsid w:val="00671DAA"/>
    <w:rsid w:val="00672C93"/>
    <w:rsid w:val="00673686"/>
    <w:rsid w:val="00680095"/>
    <w:rsid w:val="006830B8"/>
    <w:rsid w:val="00683A50"/>
    <w:rsid w:val="0068473E"/>
    <w:rsid w:val="0068607C"/>
    <w:rsid w:val="00687E7C"/>
    <w:rsid w:val="00696F59"/>
    <w:rsid w:val="006A1373"/>
    <w:rsid w:val="006A2CFE"/>
    <w:rsid w:val="006B0B3E"/>
    <w:rsid w:val="006B7732"/>
    <w:rsid w:val="006C1614"/>
    <w:rsid w:val="006C5F40"/>
    <w:rsid w:val="006C6F41"/>
    <w:rsid w:val="006C7185"/>
    <w:rsid w:val="006C7681"/>
    <w:rsid w:val="006D0EDB"/>
    <w:rsid w:val="006D5C23"/>
    <w:rsid w:val="006D7668"/>
    <w:rsid w:val="006E1720"/>
    <w:rsid w:val="006E4EBC"/>
    <w:rsid w:val="006E548E"/>
    <w:rsid w:val="006E6F86"/>
    <w:rsid w:val="006F0DED"/>
    <w:rsid w:val="006F1516"/>
    <w:rsid w:val="006F6E61"/>
    <w:rsid w:val="00700BAC"/>
    <w:rsid w:val="00700DB8"/>
    <w:rsid w:val="007010FB"/>
    <w:rsid w:val="00702785"/>
    <w:rsid w:val="00705DF7"/>
    <w:rsid w:val="007115B4"/>
    <w:rsid w:val="00711FF1"/>
    <w:rsid w:val="00714F83"/>
    <w:rsid w:val="0071552C"/>
    <w:rsid w:val="00716AF3"/>
    <w:rsid w:val="00720D13"/>
    <w:rsid w:val="007275F5"/>
    <w:rsid w:val="007304BB"/>
    <w:rsid w:val="00731311"/>
    <w:rsid w:val="00732D92"/>
    <w:rsid w:val="00733D10"/>
    <w:rsid w:val="007364EB"/>
    <w:rsid w:val="00740270"/>
    <w:rsid w:val="00740AA8"/>
    <w:rsid w:val="0074422D"/>
    <w:rsid w:val="00745735"/>
    <w:rsid w:val="00747A8A"/>
    <w:rsid w:val="007522A7"/>
    <w:rsid w:val="00752DC4"/>
    <w:rsid w:val="00754DA3"/>
    <w:rsid w:val="0075692F"/>
    <w:rsid w:val="00760443"/>
    <w:rsid w:val="007623EE"/>
    <w:rsid w:val="00767160"/>
    <w:rsid w:val="007705BF"/>
    <w:rsid w:val="007772CB"/>
    <w:rsid w:val="00783800"/>
    <w:rsid w:val="00792D29"/>
    <w:rsid w:val="00794093"/>
    <w:rsid w:val="00796B64"/>
    <w:rsid w:val="007A1726"/>
    <w:rsid w:val="007A1E4E"/>
    <w:rsid w:val="007A3563"/>
    <w:rsid w:val="007A6FC5"/>
    <w:rsid w:val="007B053D"/>
    <w:rsid w:val="007B07E8"/>
    <w:rsid w:val="007B1472"/>
    <w:rsid w:val="007B1A88"/>
    <w:rsid w:val="007B24D6"/>
    <w:rsid w:val="007B3612"/>
    <w:rsid w:val="007B5C8C"/>
    <w:rsid w:val="007B73C5"/>
    <w:rsid w:val="007B7973"/>
    <w:rsid w:val="007D1D45"/>
    <w:rsid w:val="007D243D"/>
    <w:rsid w:val="007D67DD"/>
    <w:rsid w:val="007E0A41"/>
    <w:rsid w:val="007E34DE"/>
    <w:rsid w:val="007E58B0"/>
    <w:rsid w:val="007E599F"/>
    <w:rsid w:val="007E5E6C"/>
    <w:rsid w:val="007F1CA2"/>
    <w:rsid w:val="007F3EDF"/>
    <w:rsid w:val="007F6654"/>
    <w:rsid w:val="007F76FC"/>
    <w:rsid w:val="00801478"/>
    <w:rsid w:val="008023FD"/>
    <w:rsid w:val="008065B3"/>
    <w:rsid w:val="00806C9F"/>
    <w:rsid w:val="00807208"/>
    <w:rsid w:val="0081244D"/>
    <w:rsid w:val="00813F97"/>
    <w:rsid w:val="00815706"/>
    <w:rsid w:val="00816A9F"/>
    <w:rsid w:val="00817A78"/>
    <w:rsid w:val="0082053D"/>
    <w:rsid w:val="0082087A"/>
    <w:rsid w:val="00821A92"/>
    <w:rsid w:val="00822BA7"/>
    <w:rsid w:val="00824952"/>
    <w:rsid w:val="00825916"/>
    <w:rsid w:val="008313A1"/>
    <w:rsid w:val="00842D35"/>
    <w:rsid w:val="00843512"/>
    <w:rsid w:val="00843FD5"/>
    <w:rsid w:val="008464BE"/>
    <w:rsid w:val="0084721F"/>
    <w:rsid w:val="008505B5"/>
    <w:rsid w:val="008507E6"/>
    <w:rsid w:val="00855D6E"/>
    <w:rsid w:val="008563AA"/>
    <w:rsid w:val="00857106"/>
    <w:rsid w:val="00857EB1"/>
    <w:rsid w:val="0086233A"/>
    <w:rsid w:val="00863DE6"/>
    <w:rsid w:val="00865415"/>
    <w:rsid w:val="00865586"/>
    <w:rsid w:val="00873FEA"/>
    <w:rsid w:val="00874E00"/>
    <w:rsid w:val="00874F05"/>
    <w:rsid w:val="008774DD"/>
    <w:rsid w:val="00881EE8"/>
    <w:rsid w:val="0088650F"/>
    <w:rsid w:val="0089182F"/>
    <w:rsid w:val="008919B8"/>
    <w:rsid w:val="00893A91"/>
    <w:rsid w:val="0089460D"/>
    <w:rsid w:val="00895BA1"/>
    <w:rsid w:val="008962E2"/>
    <w:rsid w:val="008A3254"/>
    <w:rsid w:val="008A4BB0"/>
    <w:rsid w:val="008A4E8C"/>
    <w:rsid w:val="008A5186"/>
    <w:rsid w:val="008A5836"/>
    <w:rsid w:val="008B3C83"/>
    <w:rsid w:val="008B5F35"/>
    <w:rsid w:val="008B72B1"/>
    <w:rsid w:val="008C1234"/>
    <w:rsid w:val="008C223D"/>
    <w:rsid w:val="008C239D"/>
    <w:rsid w:val="008D20BC"/>
    <w:rsid w:val="008E0B61"/>
    <w:rsid w:val="008E18FD"/>
    <w:rsid w:val="008E1AC0"/>
    <w:rsid w:val="008E3434"/>
    <w:rsid w:val="008E4C0F"/>
    <w:rsid w:val="008E5FE9"/>
    <w:rsid w:val="008E714A"/>
    <w:rsid w:val="008E72B6"/>
    <w:rsid w:val="008F0B92"/>
    <w:rsid w:val="008F100A"/>
    <w:rsid w:val="008F6E2D"/>
    <w:rsid w:val="00902368"/>
    <w:rsid w:val="00906A05"/>
    <w:rsid w:val="00914D05"/>
    <w:rsid w:val="009211B3"/>
    <w:rsid w:val="009242CA"/>
    <w:rsid w:val="00924FD5"/>
    <w:rsid w:val="0092608F"/>
    <w:rsid w:val="00926AAD"/>
    <w:rsid w:val="00930595"/>
    <w:rsid w:val="0093587E"/>
    <w:rsid w:val="00936014"/>
    <w:rsid w:val="009408FF"/>
    <w:rsid w:val="00941337"/>
    <w:rsid w:val="0094451A"/>
    <w:rsid w:val="009455F7"/>
    <w:rsid w:val="009468FB"/>
    <w:rsid w:val="00951FD3"/>
    <w:rsid w:val="00952FF7"/>
    <w:rsid w:val="00957F0C"/>
    <w:rsid w:val="00964390"/>
    <w:rsid w:val="00966632"/>
    <w:rsid w:val="009707FA"/>
    <w:rsid w:val="0097630A"/>
    <w:rsid w:val="00977BA9"/>
    <w:rsid w:val="00980EE6"/>
    <w:rsid w:val="00980F1D"/>
    <w:rsid w:val="0098168D"/>
    <w:rsid w:val="00982FE9"/>
    <w:rsid w:val="0098724D"/>
    <w:rsid w:val="00994203"/>
    <w:rsid w:val="00996054"/>
    <w:rsid w:val="00997F1D"/>
    <w:rsid w:val="009A24EE"/>
    <w:rsid w:val="009A4D26"/>
    <w:rsid w:val="009A5F70"/>
    <w:rsid w:val="009A6D01"/>
    <w:rsid w:val="009A6E77"/>
    <w:rsid w:val="009A7438"/>
    <w:rsid w:val="009A74FC"/>
    <w:rsid w:val="009C0F7E"/>
    <w:rsid w:val="009C393E"/>
    <w:rsid w:val="009C60C5"/>
    <w:rsid w:val="009D076A"/>
    <w:rsid w:val="009D132E"/>
    <w:rsid w:val="009E342E"/>
    <w:rsid w:val="009E5CA7"/>
    <w:rsid w:val="009E702F"/>
    <w:rsid w:val="009F04AC"/>
    <w:rsid w:val="009F080A"/>
    <w:rsid w:val="009F4754"/>
    <w:rsid w:val="00A005B5"/>
    <w:rsid w:val="00A017DB"/>
    <w:rsid w:val="00A01E17"/>
    <w:rsid w:val="00A041C2"/>
    <w:rsid w:val="00A06193"/>
    <w:rsid w:val="00A0643C"/>
    <w:rsid w:val="00A079BB"/>
    <w:rsid w:val="00A108FC"/>
    <w:rsid w:val="00A13485"/>
    <w:rsid w:val="00A13D17"/>
    <w:rsid w:val="00A20923"/>
    <w:rsid w:val="00A22D30"/>
    <w:rsid w:val="00A243DA"/>
    <w:rsid w:val="00A2454D"/>
    <w:rsid w:val="00A262D1"/>
    <w:rsid w:val="00A317D7"/>
    <w:rsid w:val="00A31859"/>
    <w:rsid w:val="00A42BBA"/>
    <w:rsid w:val="00A44168"/>
    <w:rsid w:val="00A51DCB"/>
    <w:rsid w:val="00A522F3"/>
    <w:rsid w:val="00A538C3"/>
    <w:rsid w:val="00A56E24"/>
    <w:rsid w:val="00A56F66"/>
    <w:rsid w:val="00A60221"/>
    <w:rsid w:val="00A61CDF"/>
    <w:rsid w:val="00A653E9"/>
    <w:rsid w:val="00A729F4"/>
    <w:rsid w:val="00A72EB1"/>
    <w:rsid w:val="00A74E3F"/>
    <w:rsid w:val="00A7705B"/>
    <w:rsid w:val="00A82282"/>
    <w:rsid w:val="00A84251"/>
    <w:rsid w:val="00A905CB"/>
    <w:rsid w:val="00A91ADB"/>
    <w:rsid w:val="00A955F1"/>
    <w:rsid w:val="00AA3203"/>
    <w:rsid w:val="00AA4325"/>
    <w:rsid w:val="00AA7258"/>
    <w:rsid w:val="00AA7404"/>
    <w:rsid w:val="00AA756B"/>
    <w:rsid w:val="00AB17E2"/>
    <w:rsid w:val="00AC050E"/>
    <w:rsid w:val="00AC136B"/>
    <w:rsid w:val="00AC172A"/>
    <w:rsid w:val="00AC45E9"/>
    <w:rsid w:val="00AC4E49"/>
    <w:rsid w:val="00AC5F3A"/>
    <w:rsid w:val="00AD130D"/>
    <w:rsid w:val="00AD2603"/>
    <w:rsid w:val="00AD2B8C"/>
    <w:rsid w:val="00AF00E1"/>
    <w:rsid w:val="00AF2309"/>
    <w:rsid w:val="00AF3445"/>
    <w:rsid w:val="00AF51A7"/>
    <w:rsid w:val="00AF545A"/>
    <w:rsid w:val="00AF5B4A"/>
    <w:rsid w:val="00AF78EE"/>
    <w:rsid w:val="00B02C81"/>
    <w:rsid w:val="00B02F83"/>
    <w:rsid w:val="00B0559A"/>
    <w:rsid w:val="00B110F6"/>
    <w:rsid w:val="00B171C6"/>
    <w:rsid w:val="00B22894"/>
    <w:rsid w:val="00B24582"/>
    <w:rsid w:val="00B2683C"/>
    <w:rsid w:val="00B3547E"/>
    <w:rsid w:val="00B35528"/>
    <w:rsid w:val="00B35D17"/>
    <w:rsid w:val="00B42DEF"/>
    <w:rsid w:val="00B46813"/>
    <w:rsid w:val="00B47449"/>
    <w:rsid w:val="00B47D31"/>
    <w:rsid w:val="00B548C2"/>
    <w:rsid w:val="00B602BA"/>
    <w:rsid w:val="00B629A5"/>
    <w:rsid w:val="00B63ED8"/>
    <w:rsid w:val="00B65E6F"/>
    <w:rsid w:val="00B6715B"/>
    <w:rsid w:val="00B73A52"/>
    <w:rsid w:val="00B754F1"/>
    <w:rsid w:val="00B8276B"/>
    <w:rsid w:val="00B833D9"/>
    <w:rsid w:val="00B83A78"/>
    <w:rsid w:val="00B84F23"/>
    <w:rsid w:val="00B92961"/>
    <w:rsid w:val="00B933D4"/>
    <w:rsid w:val="00B943E2"/>
    <w:rsid w:val="00BA0EA1"/>
    <w:rsid w:val="00BA2BD7"/>
    <w:rsid w:val="00BA30E3"/>
    <w:rsid w:val="00BA3ECB"/>
    <w:rsid w:val="00BA3FAD"/>
    <w:rsid w:val="00BA49C0"/>
    <w:rsid w:val="00BA6CAD"/>
    <w:rsid w:val="00BA6D7A"/>
    <w:rsid w:val="00BB169C"/>
    <w:rsid w:val="00BB22F5"/>
    <w:rsid w:val="00BB56DF"/>
    <w:rsid w:val="00BB649E"/>
    <w:rsid w:val="00BC1DDA"/>
    <w:rsid w:val="00BC1F7E"/>
    <w:rsid w:val="00BC460D"/>
    <w:rsid w:val="00BC4A56"/>
    <w:rsid w:val="00BC5481"/>
    <w:rsid w:val="00BC5531"/>
    <w:rsid w:val="00BC57D0"/>
    <w:rsid w:val="00BC7064"/>
    <w:rsid w:val="00BD075A"/>
    <w:rsid w:val="00BD43B9"/>
    <w:rsid w:val="00BD5D05"/>
    <w:rsid w:val="00BE144E"/>
    <w:rsid w:val="00BE329A"/>
    <w:rsid w:val="00BE4107"/>
    <w:rsid w:val="00BE4C0D"/>
    <w:rsid w:val="00BE4F73"/>
    <w:rsid w:val="00BF3AA0"/>
    <w:rsid w:val="00BF4E34"/>
    <w:rsid w:val="00BF6DA9"/>
    <w:rsid w:val="00C03123"/>
    <w:rsid w:val="00C0688D"/>
    <w:rsid w:val="00C200BD"/>
    <w:rsid w:val="00C2268E"/>
    <w:rsid w:val="00C23E72"/>
    <w:rsid w:val="00C23F79"/>
    <w:rsid w:val="00C35347"/>
    <w:rsid w:val="00C356A8"/>
    <w:rsid w:val="00C374B4"/>
    <w:rsid w:val="00C377C9"/>
    <w:rsid w:val="00C37DDB"/>
    <w:rsid w:val="00C415BB"/>
    <w:rsid w:val="00C41700"/>
    <w:rsid w:val="00C4387B"/>
    <w:rsid w:val="00C46399"/>
    <w:rsid w:val="00C47034"/>
    <w:rsid w:val="00C50667"/>
    <w:rsid w:val="00C51C6B"/>
    <w:rsid w:val="00C55131"/>
    <w:rsid w:val="00C60857"/>
    <w:rsid w:val="00C61AE6"/>
    <w:rsid w:val="00C638FF"/>
    <w:rsid w:val="00C6404E"/>
    <w:rsid w:val="00C674AF"/>
    <w:rsid w:val="00C72DCE"/>
    <w:rsid w:val="00C76B49"/>
    <w:rsid w:val="00C834F9"/>
    <w:rsid w:val="00C8525D"/>
    <w:rsid w:val="00C873A6"/>
    <w:rsid w:val="00C87468"/>
    <w:rsid w:val="00C874E3"/>
    <w:rsid w:val="00C90372"/>
    <w:rsid w:val="00C90C22"/>
    <w:rsid w:val="00C9116B"/>
    <w:rsid w:val="00C91B6B"/>
    <w:rsid w:val="00C938FC"/>
    <w:rsid w:val="00C94D4E"/>
    <w:rsid w:val="00C95C61"/>
    <w:rsid w:val="00C96637"/>
    <w:rsid w:val="00C96CD7"/>
    <w:rsid w:val="00CA2A0A"/>
    <w:rsid w:val="00CA54D7"/>
    <w:rsid w:val="00CA5ED2"/>
    <w:rsid w:val="00CB0B09"/>
    <w:rsid w:val="00CB0FA0"/>
    <w:rsid w:val="00CB1349"/>
    <w:rsid w:val="00CB268C"/>
    <w:rsid w:val="00CB4A51"/>
    <w:rsid w:val="00CB6572"/>
    <w:rsid w:val="00CC36E3"/>
    <w:rsid w:val="00CC7CB4"/>
    <w:rsid w:val="00CC7D63"/>
    <w:rsid w:val="00CD07CF"/>
    <w:rsid w:val="00CD5F4C"/>
    <w:rsid w:val="00CD625A"/>
    <w:rsid w:val="00CD6E36"/>
    <w:rsid w:val="00CE07E1"/>
    <w:rsid w:val="00CE07FB"/>
    <w:rsid w:val="00CE15C8"/>
    <w:rsid w:val="00CE3160"/>
    <w:rsid w:val="00CE3A90"/>
    <w:rsid w:val="00CE5CA7"/>
    <w:rsid w:val="00CF02B4"/>
    <w:rsid w:val="00CF1F26"/>
    <w:rsid w:val="00CF623C"/>
    <w:rsid w:val="00CF790E"/>
    <w:rsid w:val="00D00091"/>
    <w:rsid w:val="00D03172"/>
    <w:rsid w:val="00D034A3"/>
    <w:rsid w:val="00D04529"/>
    <w:rsid w:val="00D0683F"/>
    <w:rsid w:val="00D078BA"/>
    <w:rsid w:val="00D139F8"/>
    <w:rsid w:val="00D166CA"/>
    <w:rsid w:val="00D21E4B"/>
    <w:rsid w:val="00D246A9"/>
    <w:rsid w:val="00D265CF"/>
    <w:rsid w:val="00D31A41"/>
    <w:rsid w:val="00D3208F"/>
    <w:rsid w:val="00D331B2"/>
    <w:rsid w:val="00D365A9"/>
    <w:rsid w:val="00D37BAD"/>
    <w:rsid w:val="00D4026B"/>
    <w:rsid w:val="00D410B4"/>
    <w:rsid w:val="00D417D2"/>
    <w:rsid w:val="00D42C80"/>
    <w:rsid w:val="00D52582"/>
    <w:rsid w:val="00D5413E"/>
    <w:rsid w:val="00D54EB5"/>
    <w:rsid w:val="00D60DE2"/>
    <w:rsid w:val="00D627FC"/>
    <w:rsid w:val="00D666C2"/>
    <w:rsid w:val="00D723BC"/>
    <w:rsid w:val="00D73AF2"/>
    <w:rsid w:val="00D746D4"/>
    <w:rsid w:val="00D856BD"/>
    <w:rsid w:val="00D85BB7"/>
    <w:rsid w:val="00D872E1"/>
    <w:rsid w:val="00D90C34"/>
    <w:rsid w:val="00D94AD4"/>
    <w:rsid w:val="00D9503B"/>
    <w:rsid w:val="00D963CA"/>
    <w:rsid w:val="00DA1938"/>
    <w:rsid w:val="00DA2E99"/>
    <w:rsid w:val="00DA33C2"/>
    <w:rsid w:val="00DA703A"/>
    <w:rsid w:val="00DB03FE"/>
    <w:rsid w:val="00DB0A00"/>
    <w:rsid w:val="00DB2502"/>
    <w:rsid w:val="00DB4991"/>
    <w:rsid w:val="00DB605D"/>
    <w:rsid w:val="00DB745D"/>
    <w:rsid w:val="00DB768C"/>
    <w:rsid w:val="00DC05BA"/>
    <w:rsid w:val="00DC25DD"/>
    <w:rsid w:val="00DC28A0"/>
    <w:rsid w:val="00DC300C"/>
    <w:rsid w:val="00DC48A5"/>
    <w:rsid w:val="00DC7743"/>
    <w:rsid w:val="00DD01B3"/>
    <w:rsid w:val="00DD60D7"/>
    <w:rsid w:val="00DE173E"/>
    <w:rsid w:val="00DE297C"/>
    <w:rsid w:val="00DE2A20"/>
    <w:rsid w:val="00DE43EC"/>
    <w:rsid w:val="00DE4474"/>
    <w:rsid w:val="00DE4E06"/>
    <w:rsid w:val="00DE500D"/>
    <w:rsid w:val="00DE6D84"/>
    <w:rsid w:val="00DF29D2"/>
    <w:rsid w:val="00DF3225"/>
    <w:rsid w:val="00DF5B32"/>
    <w:rsid w:val="00DF61C1"/>
    <w:rsid w:val="00E00391"/>
    <w:rsid w:val="00E0053A"/>
    <w:rsid w:val="00E024FE"/>
    <w:rsid w:val="00E0308D"/>
    <w:rsid w:val="00E04D1F"/>
    <w:rsid w:val="00E15754"/>
    <w:rsid w:val="00E239B9"/>
    <w:rsid w:val="00E25433"/>
    <w:rsid w:val="00E27872"/>
    <w:rsid w:val="00E32A6A"/>
    <w:rsid w:val="00E35121"/>
    <w:rsid w:val="00E41268"/>
    <w:rsid w:val="00E41F1C"/>
    <w:rsid w:val="00E42383"/>
    <w:rsid w:val="00E439A9"/>
    <w:rsid w:val="00E44AB5"/>
    <w:rsid w:val="00E47708"/>
    <w:rsid w:val="00E47881"/>
    <w:rsid w:val="00E507DA"/>
    <w:rsid w:val="00E53CD5"/>
    <w:rsid w:val="00E54CE9"/>
    <w:rsid w:val="00E609C7"/>
    <w:rsid w:val="00E621D7"/>
    <w:rsid w:val="00E66475"/>
    <w:rsid w:val="00E722AE"/>
    <w:rsid w:val="00E72649"/>
    <w:rsid w:val="00E73E73"/>
    <w:rsid w:val="00E76124"/>
    <w:rsid w:val="00E779DA"/>
    <w:rsid w:val="00E82846"/>
    <w:rsid w:val="00E85E56"/>
    <w:rsid w:val="00E90D02"/>
    <w:rsid w:val="00E97587"/>
    <w:rsid w:val="00E9797A"/>
    <w:rsid w:val="00E97DA6"/>
    <w:rsid w:val="00EA0066"/>
    <w:rsid w:val="00EA00DA"/>
    <w:rsid w:val="00EA3E69"/>
    <w:rsid w:val="00EA4D53"/>
    <w:rsid w:val="00EA4D91"/>
    <w:rsid w:val="00EB0BC8"/>
    <w:rsid w:val="00EC36A4"/>
    <w:rsid w:val="00EC3D3F"/>
    <w:rsid w:val="00EC4071"/>
    <w:rsid w:val="00EC5E0A"/>
    <w:rsid w:val="00EC630C"/>
    <w:rsid w:val="00EC6370"/>
    <w:rsid w:val="00ED1867"/>
    <w:rsid w:val="00ED5092"/>
    <w:rsid w:val="00EE03D4"/>
    <w:rsid w:val="00EE1290"/>
    <w:rsid w:val="00EE4751"/>
    <w:rsid w:val="00EE50BF"/>
    <w:rsid w:val="00EF0DA1"/>
    <w:rsid w:val="00EF2374"/>
    <w:rsid w:val="00EF3F63"/>
    <w:rsid w:val="00EF4BD8"/>
    <w:rsid w:val="00EF5988"/>
    <w:rsid w:val="00F0036C"/>
    <w:rsid w:val="00F010C3"/>
    <w:rsid w:val="00F04319"/>
    <w:rsid w:val="00F12043"/>
    <w:rsid w:val="00F15CB9"/>
    <w:rsid w:val="00F16482"/>
    <w:rsid w:val="00F17566"/>
    <w:rsid w:val="00F215DB"/>
    <w:rsid w:val="00F23332"/>
    <w:rsid w:val="00F24BF9"/>
    <w:rsid w:val="00F3446A"/>
    <w:rsid w:val="00F347CB"/>
    <w:rsid w:val="00F53F99"/>
    <w:rsid w:val="00F56470"/>
    <w:rsid w:val="00F56BED"/>
    <w:rsid w:val="00F57550"/>
    <w:rsid w:val="00F57679"/>
    <w:rsid w:val="00F66B43"/>
    <w:rsid w:val="00F672B9"/>
    <w:rsid w:val="00F71C60"/>
    <w:rsid w:val="00F725EE"/>
    <w:rsid w:val="00F72F25"/>
    <w:rsid w:val="00F73FDE"/>
    <w:rsid w:val="00F7536E"/>
    <w:rsid w:val="00F7621B"/>
    <w:rsid w:val="00F81122"/>
    <w:rsid w:val="00F84F0E"/>
    <w:rsid w:val="00F85FEF"/>
    <w:rsid w:val="00F87724"/>
    <w:rsid w:val="00F948FE"/>
    <w:rsid w:val="00F9584F"/>
    <w:rsid w:val="00F96216"/>
    <w:rsid w:val="00FA2D91"/>
    <w:rsid w:val="00FA374B"/>
    <w:rsid w:val="00FA7B71"/>
    <w:rsid w:val="00FC0E48"/>
    <w:rsid w:val="00FC22D2"/>
    <w:rsid w:val="00FD1343"/>
    <w:rsid w:val="00FD681B"/>
    <w:rsid w:val="00FE0082"/>
    <w:rsid w:val="00FE0E1B"/>
    <w:rsid w:val="00FE630F"/>
    <w:rsid w:val="00FE702D"/>
    <w:rsid w:val="00FF1273"/>
    <w:rsid w:val="00FF2997"/>
    <w:rsid w:val="00FF33BE"/>
    <w:rsid w:val="017D5633"/>
    <w:rsid w:val="018E20EA"/>
    <w:rsid w:val="01E43B56"/>
    <w:rsid w:val="02756840"/>
    <w:rsid w:val="03015719"/>
    <w:rsid w:val="033709F0"/>
    <w:rsid w:val="035A307B"/>
    <w:rsid w:val="03B34112"/>
    <w:rsid w:val="03B7227C"/>
    <w:rsid w:val="041476CE"/>
    <w:rsid w:val="053022E6"/>
    <w:rsid w:val="05942874"/>
    <w:rsid w:val="061567A2"/>
    <w:rsid w:val="06F21F49"/>
    <w:rsid w:val="0777551C"/>
    <w:rsid w:val="08844E22"/>
    <w:rsid w:val="08A94889"/>
    <w:rsid w:val="08C92C50"/>
    <w:rsid w:val="099431A1"/>
    <w:rsid w:val="09EF6C13"/>
    <w:rsid w:val="0A5B1BB3"/>
    <w:rsid w:val="0AA90B70"/>
    <w:rsid w:val="0AEE2A27"/>
    <w:rsid w:val="0AF24B2C"/>
    <w:rsid w:val="0B845139"/>
    <w:rsid w:val="0B845C2A"/>
    <w:rsid w:val="0C1E10EA"/>
    <w:rsid w:val="0C2A5CE1"/>
    <w:rsid w:val="0C50326D"/>
    <w:rsid w:val="0CA072C0"/>
    <w:rsid w:val="0CF4009D"/>
    <w:rsid w:val="0D5B15A6"/>
    <w:rsid w:val="0D870F11"/>
    <w:rsid w:val="0DBF0FDF"/>
    <w:rsid w:val="0FDE2089"/>
    <w:rsid w:val="100462A4"/>
    <w:rsid w:val="101C1DE4"/>
    <w:rsid w:val="11A04643"/>
    <w:rsid w:val="12FB3F33"/>
    <w:rsid w:val="138F0B1F"/>
    <w:rsid w:val="141847C9"/>
    <w:rsid w:val="14D236A7"/>
    <w:rsid w:val="156D49DF"/>
    <w:rsid w:val="16210895"/>
    <w:rsid w:val="162930A2"/>
    <w:rsid w:val="169A3A63"/>
    <w:rsid w:val="16CD5BE6"/>
    <w:rsid w:val="17614581"/>
    <w:rsid w:val="176302F9"/>
    <w:rsid w:val="182B636D"/>
    <w:rsid w:val="18C13CF3"/>
    <w:rsid w:val="1AE259D8"/>
    <w:rsid w:val="1B5D21E4"/>
    <w:rsid w:val="1C0C4459"/>
    <w:rsid w:val="1C746B04"/>
    <w:rsid w:val="1C770237"/>
    <w:rsid w:val="1CF0262F"/>
    <w:rsid w:val="1CF814E3"/>
    <w:rsid w:val="1E4A2212"/>
    <w:rsid w:val="1E522789"/>
    <w:rsid w:val="1EA026C9"/>
    <w:rsid w:val="1EE00481"/>
    <w:rsid w:val="1F374545"/>
    <w:rsid w:val="1F536EA5"/>
    <w:rsid w:val="1F6115C2"/>
    <w:rsid w:val="1FBE07C2"/>
    <w:rsid w:val="20D8367C"/>
    <w:rsid w:val="2173250E"/>
    <w:rsid w:val="22A228C8"/>
    <w:rsid w:val="22A76D83"/>
    <w:rsid w:val="22D36C7A"/>
    <w:rsid w:val="23607DE2"/>
    <w:rsid w:val="24073322"/>
    <w:rsid w:val="24EF141E"/>
    <w:rsid w:val="25164BFC"/>
    <w:rsid w:val="25180974"/>
    <w:rsid w:val="25C74149"/>
    <w:rsid w:val="25F72C80"/>
    <w:rsid w:val="260920FD"/>
    <w:rsid w:val="26325A66"/>
    <w:rsid w:val="264439EB"/>
    <w:rsid w:val="26667E05"/>
    <w:rsid w:val="26FD2518"/>
    <w:rsid w:val="26FD50D2"/>
    <w:rsid w:val="27E762A5"/>
    <w:rsid w:val="28814918"/>
    <w:rsid w:val="29BF1D06"/>
    <w:rsid w:val="2AB632BA"/>
    <w:rsid w:val="2B4C7BA5"/>
    <w:rsid w:val="2B4F0A89"/>
    <w:rsid w:val="2B9B237B"/>
    <w:rsid w:val="2C815051"/>
    <w:rsid w:val="2CCF4BC2"/>
    <w:rsid w:val="2D3F5F3A"/>
    <w:rsid w:val="2E105A31"/>
    <w:rsid w:val="2E24069D"/>
    <w:rsid w:val="2E55393C"/>
    <w:rsid w:val="2F241F36"/>
    <w:rsid w:val="3019192C"/>
    <w:rsid w:val="30AF48A7"/>
    <w:rsid w:val="317513DF"/>
    <w:rsid w:val="3179279B"/>
    <w:rsid w:val="3191151C"/>
    <w:rsid w:val="31C854D0"/>
    <w:rsid w:val="31FE0EF2"/>
    <w:rsid w:val="32342C93"/>
    <w:rsid w:val="32676A97"/>
    <w:rsid w:val="32C1595D"/>
    <w:rsid w:val="32E53E60"/>
    <w:rsid w:val="345E2F74"/>
    <w:rsid w:val="35076310"/>
    <w:rsid w:val="356419B4"/>
    <w:rsid w:val="36283BA1"/>
    <w:rsid w:val="366652B8"/>
    <w:rsid w:val="36D87F64"/>
    <w:rsid w:val="37087B49"/>
    <w:rsid w:val="3710594F"/>
    <w:rsid w:val="373B6744"/>
    <w:rsid w:val="379D1A1A"/>
    <w:rsid w:val="37C72F4B"/>
    <w:rsid w:val="38432053"/>
    <w:rsid w:val="389B4FD0"/>
    <w:rsid w:val="39E62997"/>
    <w:rsid w:val="3A052AE6"/>
    <w:rsid w:val="3A161C4B"/>
    <w:rsid w:val="3A322081"/>
    <w:rsid w:val="3B2335EB"/>
    <w:rsid w:val="3C6F2EEB"/>
    <w:rsid w:val="3CBE0342"/>
    <w:rsid w:val="3D2A62EE"/>
    <w:rsid w:val="3D4C5207"/>
    <w:rsid w:val="3DB92262"/>
    <w:rsid w:val="3E1E0ACE"/>
    <w:rsid w:val="3E4D1237"/>
    <w:rsid w:val="3E595E2E"/>
    <w:rsid w:val="3E5D51F2"/>
    <w:rsid w:val="3E940550"/>
    <w:rsid w:val="3EE706B4"/>
    <w:rsid w:val="40021E60"/>
    <w:rsid w:val="40883F89"/>
    <w:rsid w:val="409D5D7A"/>
    <w:rsid w:val="41B45C3E"/>
    <w:rsid w:val="41DA15EE"/>
    <w:rsid w:val="42360DCF"/>
    <w:rsid w:val="43385B0A"/>
    <w:rsid w:val="43C52E38"/>
    <w:rsid w:val="44B841EA"/>
    <w:rsid w:val="44C6361C"/>
    <w:rsid w:val="455671FE"/>
    <w:rsid w:val="456A4DC4"/>
    <w:rsid w:val="45C57CA5"/>
    <w:rsid w:val="45D67D64"/>
    <w:rsid w:val="47033DD1"/>
    <w:rsid w:val="47115AE9"/>
    <w:rsid w:val="4751500C"/>
    <w:rsid w:val="47BA5463"/>
    <w:rsid w:val="482F5E51"/>
    <w:rsid w:val="483B65A4"/>
    <w:rsid w:val="48445B3E"/>
    <w:rsid w:val="485F6737"/>
    <w:rsid w:val="486755EB"/>
    <w:rsid w:val="48693DA5"/>
    <w:rsid w:val="488D37B8"/>
    <w:rsid w:val="489E2319"/>
    <w:rsid w:val="498E0956"/>
    <w:rsid w:val="499871AE"/>
    <w:rsid w:val="4A9B3185"/>
    <w:rsid w:val="4B507CC6"/>
    <w:rsid w:val="4C8F6EBF"/>
    <w:rsid w:val="4D423F31"/>
    <w:rsid w:val="4D6F609D"/>
    <w:rsid w:val="4E202280"/>
    <w:rsid w:val="4E241889"/>
    <w:rsid w:val="4EB42580"/>
    <w:rsid w:val="4F074624"/>
    <w:rsid w:val="4F0D651F"/>
    <w:rsid w:val="508B5BEF"/>
    <w:rsid w:val="50C64E79"/>
    <w:rsid w:val="50DC644B"/>
    <w:rsid w:val="514F30C0"/>
    <w:rsid w:val="5217598C"/>
    <w:rsid w:val="52553F54"/>
    <w:rsid w:val="52CE3F1E"/>
    <w:rsid w:val="52FC2DD4"/>
    <w:rsid w:val="54101DC7"/>
    <w:rsid w:val="546E1958"/>
    <w:rsid w:val="559D43FA"/>
    <w:rsid w:val="55F14746"/>
    <w:rsid w:val="566B274A"/>
    <w:rsid w:val="56806140"/>
    <w:rsid w:val="5698159C"/>
    <w:rsid w:val="56AE2294"/>
    <w:rsid w:val="56BD287A"/>
    <w:rsid w:val="57237514"/>
    <w:rsid w:val="57FD73D2"/>
    <w:rsid w:val="586C0035"/>
    <w:rsid w:val="59CA7788"/>
    <w:rsid w:val="5A584D94"/>
    <w:rsid w:val="5A7043E1"/>
    <w:rsid w:val="5B57329D"/>
    <w:rsid w:val="5B7947D3"/>
    <w:rsid w:val="5BD743DE"/>
    <w:rsid w:val="5BF817A4"/>
    <w:rsid w:val="5C95407D"/>
    <w:rsid w:val="5CB61F14"/>
    <w:rsid w:val="5CC56A62"/>
    <w:rsid w:val="5D1602EF"/>
    <w:rsid w:val="5DED1C97"/>
    <w:rsid w:val="5E1E3E08"/>
    <w:rsid w:val="5FFE462F"/>
    <w:rsid w:val="600B4656"/>
    <w:rsid w:val="600E35B7"/>
    <w:rsid w:val="60340051"/>
    <w:rsid w:val="60AC7A42"/>
    <w:rsid w:val="613B0F6B"/>
    <w:rsid w:val="614B38A4"/>
    <w:rsid w:val="62461D54"/>
    <w:rsid w:val="630A6E47"/>
    <w:rsid w:val="635C6A7C"/>
    <w:rsid w:val="63FF2724"/>
    <w:rsid w:val="6518584B"/>
    <w:rsid w:val="658E1FB1"/>
    <w:rsid w:val="658E3D60"/>
    <w:rsid w:val="66507411"/>
    <w:rsid w:val="66617F4E"/>
    <w:rsid w:val="66734968"/>
    <w:rsid w:val="667D781E"/>
    <w:rsid w:val="668917AD"/>
    <w:rsid w:val="66A743CB"/>
    <w:rsid w:val="66F109AF"/>
    <w:rsid w:val="67040442"/>
    <w:rsid w:val="671A5146"/>
    <w:rsid w:val="674D0403"/>
    <w:rsid w:val="67D45789"/>
    <w:rsid w:val="68093662"/>
    <w:rsid w:val="68D777CC"/>
    <w:rsid w:val="6AB778B5"/>
    <w:rsid w:val="6AC65D4A"/>
    <w:rsid w:val="6B176B29"/>
    <w:rsid w:val="6B576913"/>
    <w:rsid w:val="6C4B4E41"/>
    <w:rsid w:val="6C711CE5"/>
    <w:rsid w:val="6D3C6797"/>
    <w:rsid w:val="6D660BDE"/>
    <w:rsid w:val="6D8B67C6"/>
    <w:rsid w:val="6E2337FA"/>
    <w:rsid w:val="6F3172DD"/>
    <w:rsid w:val="6FB8233D"/>
    <w:rsid w:val="700D0ACA"/>
    <w:rsid w:val="702E23C7"/>
    <w:rsid w:val="70C62A65"/>
    <w:rsid w:val="711459E4"/>
    <w:rsid w:val="715F3F7E"/>
    <w:rsid w:val="719C15B2"/>
    <w:rsid w:val="71C34D91"/>
    <w:rsid w:val="71D004D2"/>
    <w:rsid w:val="71D56E90"/>
    <w:rsid w:val="71E865D6"/>
    <w:rsid w:val="72885781"/>
    <w:rsid w:val="737A5923"/>
    <w:rsid w:val="74692034"/>
    <w:rsid w:val="76500BBD"/>
    <w:rsid w:val="7759449C"/>
    <w:rsid w:val="778B00FF"/>
    <w:rsid w:val="77EF68E0"/>
    <w:rsid w:val="78A551F0"/>
    <w:rsid w:val="793A002E"/>
    <w:rsid w:val="797F3C93"/>
    <w:rsid w:val="79907C4E"/>
    <w:rsid w:val="79932547"/>
    <w:rsid w:val="7A8B000D"/>
    <w:rsid w:val="7A9B68AB"/>
    <w:rsid w:val="7AA65250"/>
    <w:rsid w:val="7AE244DA"/>
    <w:rsid w:val="7BB054F8"/>
    <w:rsid w:val="7C376AA7"/>
    <w:rsid w:val="7C81665C"/>
    <w:rsid w:val="7CF0487B"/>
    <w:rsid w:val="7EDE320A"/>
    <w:rsid w:val="7F2E6600"/>
    <w:rsid w:val="7F737DF6"/>
    <w:rsid w:val="7FDE168A"/>
    <w:rsid w:val="7FE346EA"/>
    <w:rsid w:val="7FF34E6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9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line="360" w:lineRule="auto"/>
      <w:ind w:firstLine="420" w:firstLineChars="200"/>
    </w:pPr>
    <w:rPr>
      <w:rFonts w:ascii="宋体" w:cs="宋体"/>
      <w:sz w:val="28"/>
      <w:szCs w:val="28"/>
    </w:rPr>
  </w:style>
  <w:style w:type="paragraph" w:styleId="3">
    <w:name w:val="Body Text Indent"/>
    <w:basedOn w:val="1"/>
    <w:next w:val="2"/>
    <w:qFormat/>
    <w:uiPriority w:val="0"/>
    <w:pPr>
      <w:ind w:firstLine="560" w:firstLineChars="200"/>
    </w:pPr>
    <w:rPr>
      <w:rFonts w:eastAsia="仿宋_GB2312"/>
      <w:sz w:val="28"/>
    </w:rPr>
  </w:style>
  <w:style w:type="paragraph" w:styleId="4">
    <w:name w:val="Plain Text"/>
    <w:basedOn w:val="1"/>
    <w:qFormat/>
    <w:uiPriority w:val="0"/>
    <w:rPr>
      <w:rFonts w:ascii="宋体" w:hAnsi="Courier New"/>
      <w:szCs w:val="21"/>
    </w:rPr>
  </w:style>
  <w:style w:type="paragraph" w:styleId="5">
    <w:name w:val="Date"/>
    <w:basedOn w:val="1"/>
    <w:next w:val="1"/>
    <w:link w:val="17"/>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2"/>
    <w:basedOn w:val="3"/>
    <w:next w:val="4"/>
    <w:qFormat/>
    <w:uiPriority w:val="0"/>
    <w:pPr>
      <w:widowControl/>
      <w:tabs>
        <w:tab w:val="left" w:pos="-5"/>
      </w:tabs>
      <w:spacing w:after="120" w:line="276" w:lineRule="auto"/>
      <w:ind w:left="200" w:leftChars="200" w:firstLine="420" w:firstLineChars="200"/>
      <w:jc w:val="left"/>
    </w:pPr>
    <w:rPr>
      <w:sz w:val="32"/>
    </w:rPr>
  </w:style>
  <w:style w:type="table" w:styleId="12">
    <w:name w:val="Table Grid"/>
    <w:basedOn w:val="1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99"/>
    <w:rPr>
      <w:rFonts w:cs="Times New Roman"/>
      <w:b/>
      <w:bCs/>
    </w:rPr>
  </w:style>
  <w:style w:type="character" w:styleId="15">
    <w:name w:val="page number"/>
    <w:basedOn w:val="13"/>
    <w:qFormat/>
    <w:uiPriority w:val="0"/>
  </w:style>
  <w:style w:type="character" w:styleId="16">
    <w:name w:val="Hyperlink"/>
    <w:qFormat/>
    <w:uiPriority w:val="0"/>
    <w:rPr>
      <w:color w:val="0000FF"/>
      <w:u w:val="single"/>
    </w:rPr>
  </w:style>
  <w:style w:type="character" w:customStyle="1" w:styleId="17">
    <w:name w:val="日期 Char"/>
    <w:link w:val="5"/>
    <w:qFormat/>
    <w:uiPriority w:val="0"/>
    <w:rPr>
      <w:rFonts w:eastAsia="仿宋_GB2312"/>
      <w:kern w:val="2"/>
      <w:sz w:val="32"/>
      <w:szCs w:val="32"/>
    </w:rPr>
  </w:style>
  <w:style w:type="paragraph" w:customStyle="1" w:styleId="18">
    <w:name w:val=" Char"/>
    <w:basedOn w:val="1"/>
    <w:qFormat/>
    <w:uiPriority w:val="0"/>
    <w:rPr>
      <w:rFonts w:eastAsia="宋体"/>
      <w:sz w:val="21"/>
      <w:szCs w:val="24"/>
    </w:rPr>
  </w:style>
  <w:style w:type="paragraph" w:styleId="19">
    <w:name w:val="No Spacing"/>
    <w:qFormat/>
    <w:uiPriority w:val="1"/>
    <w:pPr>
      <w:widowControl w:val="0"/>
      <w:jc w:val="both"/>
    </w:pPr>
    <w:rPr>
      <w:rFonts w:ascii="Times New Roman" w:hAnsi="Times New Roman" w:eastAsia="仿宋_GB2312" w:cs="Times New Roman"/>
      <w:kern w:val="2"/>
      <w:sz w:val="32"/>
      <w:szCs w:val="32"/>
      <w:lang w:val="en-US" w:eastAsia="zh-CN" w:bidi="ar-SA"/>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NormalCharacter"/>
    <w:qFormat/>
    <w:uiPriority w:val="0"/>
  </w:style>
  <w:style w:type="paragraph" w:customStyle="1" w:styleId="22">
    <w:name w:val="UserStyle_9"/>
    <w:basedOn w:val="1"/>
    <w:qFormat/>
    <w:uiPriority w:val="0"/>
    <w:pPr>
      <w:spacing w:before="0" w:after="0" w:line="441" w:lineRule="auto"/>
      <w:ind w:left="0" w:right="0" w:firstLine="0"/>
      <w:jc w:val="left"/>
      <w:textAlignment w:val="baseline"/>
    </w:pPr>
    <w:rPr>
      <w:rFonts w:ascii="宋体" w:hAnsi="宋体" w:eastAsia="宋体"/>
      <w:color w:val="000000"/>
      <w:kern w:val="0"/>
      <w:sz w:val="28"/>
      <w:szCs w:val="28"/>
      <w:lang w:val="en-US" w:eastAsia="zh-CN"/>
    </w:rPr>
  </w:style>
  <w:style w:type="paragraph" w:customStyle="1" w:styleId="23">
    <w:name w:val="179"/>
    <w:basedOn w:val="1"/>
    <w:qFormat/>
    <w:uiPriority w:val="0"/>
    <w:pPr>
      <w:ind w:firstLine="420" w:firstLineChars="200"/>
      <w:jc w:val="both"/>
      <w:textAlignment w:val="baseline"/>
    </w:pPr>
  </w:style>
  <w:style w:type="paragraph" w:customStyle="1" w:styleId="24">
    <w:name w:val="BodyText1I2"/>
    <w:basedOn w:val="25"/>
    <w:qFormat/>
    <w:uiPriority w:val="0"/>
    <w:pPr>
      <w:spacing w:line="300" w:lineRule="auto"/>
      <w:ind w:firstLine="420" w:firstLineChars="200"/>
      <w:jc w:val="both"/>
      <w:textAlignment w:val="baseline"/>
    </w:pPr>
  </w:style>
  <w:style w:type="paragraph" w:customStyle="1" w:styleId="25">
    <w:name w:val="BodyTextIndent"/>
    <w:basedOn w:val="1"/>
    <w:next w:val="26"/>
    <w:qFormat/>
    <w:uiPriority w:val="0"/>
    <w:pPr>
      <w:spacing w:line="300" w:lineRule="auto"/>
      <w:ind w:firstLine="200"/>
      <w:jc w:val="both"/>
      <w:textAlignment w:val="baseline"/>
    </w:pPr>
    <w:rPr>
      <w:kern w:val="2"/>
      <w:sz w:val="28"/>
      <w:szCs w:val="28"/>
      <w:lang w:val="en-US" w:eastAsia="zh-CN" w:bidi="ar-SA"/>
    </w:rPr>
  </w:style>
  <w:style w:type="paragraph" w:customStyle="1" w:styleId="26">
    <w:name w:val="NormalIndent"/>
    <w:basedOn w:val="1"/>
    <w:next w:val="1"/>
    <w:qFormat/>
    <w:uiPriority w:val="0"/>
    <w:pPr>
      <w:ind w:firstLine="420" w:firstLineChars="200"/>
      <w:jc w:val="both"/>
      <w:textAlignment w:val="baseline"/>
    </w:pPr>
    <w:rPr>
      <w:rFonts w:eastAsia="仿宋"/>
      <w:kern w:val="2"/>
      <w:sz w:val="32"/>
      <w:szCs w:val="32"/>
      <w:lang w:val="en-US" w:eastAsia="zh-CN" w:bidi="ar-SA"/>
    </w:rPr>
  </w:style>
  <w:style w:type="paragraph" w:customStyle="1" w:styleId="27">
    <w:name w:val="Footer"/>
    <w:basedOn w:val="1"/>
    <w:qFormat/>
    <w:uiPriority w:val="0"/>
    <w:pPr>
      <w:tabs>
        <w:tab w:val="center" w:pos="4153"/>
        <w:tab w:val="right" w:pos="8306"/>
      </w:tabs>
      <w:snapToGrid w:val="0"/>
      <w:jc w:val="left"/>
      <w:textAlignment w:val="baseline"/>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3052</Words>
  <Characters>3174</Characters>
  <Lines>13</Lines>
  <Paragraphs>3</Paragraphs>
  <TotalTime>15</TotalTime>
  <ScaleCrop>false</ScaleCrop>
  <LinksUpToDate>false</LinksUpToDate>
  <CharactersWithSpaces>3262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2013-05-31T03:15:00Z</dcterms:created>
  <dc:creator>User</dc:creator>
  <cp:lastModifiedBy>大孤山分局-孔维志</cp:lastModifiedBy>
  <cp:lastPrinted>2024-07-18T06:03:00Z</cp:lastPrinted>
  <dcterms:modified xsi:type="dcterms:W3CDTF">2024-09-03T01:08:31Z</dcterms:modified>
  <dc:title>大连金州新区管理委员会办公室文件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69138F3F1B8D4D9883F139A08F4983C9_13</vt:lpwstr>
  </property>
</Properties>
</file>