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E" w:rsidRDefault="00887CE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渤海综合治理生态修复项目进展情况台账</w:t>
      </w:r>
    </w:p>
    <w:p w:rsidR="007377AE" w:rsidRDefault="007377AE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7377AE">
        <w:tc>
          <w:tcPr>
            <w:tcW w:w="937" w:type="dxa"/>
            <w:vMerge w:val="restart"/>
            <w:vAlign w:val="center"/>
          </w:tcPr>
          <w:p w:rsidR="007377AE" w:rsidRDefault="00887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7377AE" w:rsidRDefault="00887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7377AE" w:rsidRDefault="00887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7377AE">
        <w:tc>
          <w:tcPr>
            <w:tcW w:w="937" w:type="dxa"/>
            <w:vMerge/>
          </w:tcPr>
          <w:p w:rsidR="007377AE" w:rsidRDefault="007377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7377AE" w:rsidRDefault="007377AE">
            <w:pPr>
              <w:rPr>
                <w:sz w:val="24"/>
              </w:rPr>
            </w:pPr>
          </w:p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7377AE" w:rsidRDefault="007377AE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7377AE">
        <w:tc>
          <w:tcPr>
            <w:tcW w:w="93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7377AE" w:rsidRDefault="00887CE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 xml:space="preserve">EPC </w:t>
            </w:r>
            <w:r>
              <w:rPr>
                <w:rFonts w:hint="eastAsia"/>
                <w:sz w:val="24"/>
              </w:rPr>
              <w:t>及监理招标、初步设计已通过、施工队伍已进场修筑便道及外运土方</w:t>
            </w:r>
          </w:p>
        </w:tc>
        <w:tc>
          <w:tcPr>
            <w:tcW w:w="95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25%</w:t>
            </w:r>
          </w:p>
        </w:tc>
        <w:tc>
          <w:tcPr>
            <w:tcW w:w="1733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253" w:type="dxa"/>
            <w:vAlign w:val="center"/>
          </w:tcPr>
          <w:p w:rsidR="007377AE" w:rsidRDefault="00887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7377AE" w:rsidRDefault="007377AE">
      <w:pPr>
        <w:jc w:val="center"/>
        <w:rPr>
          <w:sz w:val="36"/>
          <w:szCs w:val="36"/>
        </w:rPr>
      </w:pPr>
    </w:p>
    <w:sectPr w:rsidR="007377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7377AE"/>
    <w:rsid w:val="00887CE9"/>
    <w:rsid w:val="22546136"/>
    <w:rsid w:val="60912C0B"/>
    <w:rsid w:val="736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cp:lastPrinted>2020-05-29T06:37:00Z</cp:lastPrinted>
  <dcterms:created xsi:type="dcterms:W3CDTF">2020-05-29T07:02:00Z</dcterms:created>
  <dcterms:modified xsi:type="dcterms:W3CDTF">2020-05-29T07:02:00Z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