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eastAsia="宋体" w:cs="方正小标宋简体"/>
          <w:sz w:val="44"/>
          <w:szCs w:val="44"/>
          <w:lang w:eastAsia="zh-CN"/>
        </w:rPr>
      </w:pPr>
      <w:r>
        <w:rPr>
          <w:rFonts w:hint="eastAsia" w:ascii="宋体" w:hAnsi="宋体" w:cs="方正小标宋简体"/>
          <w:sz w:val="44"/>
          <w:szCs w:val="44"/>
        </w:rPr>
        <w:t>大连自贸片区（保税区）行政执法主体</w:t>
      </w:r>
      <w:r>
        <w:rPr>
          <w:rFonts w:hint="eastAsia" w:ascii="宋体" w:hAnsi="宋体" w:cs="方正小标宋简体"/>
          <w:sz w:val="44"/>
          <w:szCs w:val="44"/>
          <w:lang w:val="en-US" w:eastAsia="zh-CN"/>
        </w:rPr>
        <w:t>公示</w:t>
      </w:r>
    </w:p>
    <w:tbl>
      <w:tblPr>
        <w:tblStyle w:val="6"/>
        <w:tblW w:w="138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62"/>
        <w:gridCol w:w="138"/>
        <w:gridCol w:w="4785"/>
        <w:gridCol w:w="2235"/>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022" w:type="dxa"/>
            <w:gridSpan w:val="2"/>
            <w:vAlign w:val="center"/>
          </w:tcPr>
          <w:p>
            <w:pPr>
              <w:rPr>
                <w:rFonts w:ascii="Times New Roman" w:hAnsi="Times New Roman"/>
                <w:sz w:val="30"/>
                <w:szCs w:val="30"/>
              </w:rPr>
            </w:pPr>
            <w:r>
              <w:rPr>
                <w:rFonts w:hint="eastAsia" w:ascii="Times New Roman" w:hAnsi="Times New Roman"/>
                <w:bCs/>
                <w:sz w:val="30"/>
                <w:szCs w:val="30"/>
              </w:rPr>
              <w:t>行政执法机构</w:t>
            </w:r>
          </w:p>
        </w:tc>
        <w:tc>
          <w:tcPr>
            <w:tcW w:w="11869" w:type="dxa"/>
            <w:gridSpan w:val="4"/>
            <w:vAlign w:val="center"/>
          </w:tcPr>
          <w:p>
            <w:pPr>
              <w:jc w:val="center"/>
              <w:rPr>
                <w:rFonts w:ascii="宋体"/>
                <w:sz w:val="32"/>
                <w:szCs w:val="32"/>
              </w:rPr>
            </w:pPr>
            <w:r>
              <w:rPr>
                <w:rFonts w:hint="eastAsia" w:ascii="Times New Roman" w:hAnsi="Times New Roman"/>
                <w:sz w:val="18"/>
                <w:szCs w:val="18"/>
              </w:rPr>
              <w:t>中国（辽宁）自由贸易试验区大连片区（大连保税区）</w:t>
            </w:r>
            <w:r>
              <w:rPr>
                <w:rFonts w:hint="eastAsia" w:ascii="Times New Roman" w:hAnsi="Times New Roman"/>
                <w:sz w:val="18"/>
                <w:szCs w:val="18"/>
                <w:lang w:val="en-US" w:eastAsia="zh-CN"/>
              </w:rPr>
              <w:t>市场监督管理局</w:t>
            </w:r>
            <w:r>
              <w:rPr>
                <w:rFonts w:hint="eastAsia" w:ascii="Times New Roman" w:hAnsi="Times New Roman"/>
                <w:sz w:val="18"/>
                <w:szCs w:val="18"/>
              </w:rPr>
              <w:t>〔中国（辽宁）自由贸易试验区大连片区（大连保税区）</w:t>
            </w:r>
            <w:r>
              <w:rPr>
                <w:rFonts w:hint="eastAsia" w:ascii="Times New Roman" w:hAnsi="Times New Roman"/>
                <w:sz w:val="18"/>
                <w:szCs w:val="18"/>
                <w:lang w:val="en-US" w:eastAsia="zh-CN"/>
              </w:rPr>
              <w:t>应急</w:t>
            </w:r>
            <w:r>
              <w:rPr>
                <w:rFonts w:hint="eastAsia" w:ascii="Times New Roman" w:hAnsi="Times New Roman"/>
                <w:sz w:val="18"/>
                <w:szCs w:val="18"/>
              </w:rPr>
              <w:t>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022" w:type="dxa"/>
            <w:gridSpan w:val="2"/>
            <w:vAlign w:val="center"/>
          </w:tcPr>
          <w:p>
            <w:pPr>
              <w:rPr>
                <w:rFonts w:ascii="Times New Roman" w:hAnsi="Times New Roman"/>
                <w:sz w:val="30"/>
                <w:szCs w:val="30"/>
              </w:rPr>
            </w:pPr>
            <w:r>
              <w:rPr>
                <w:rFonts w:hint="eastAsia" w:ascii="Times New Roman" w:hAnsi="Times New Roman"/>
                <w:bCs/>
                <w:sz w:val="30"/>
                <w:szCs w:val="30"/>
              </w:rPr>
              <w:t>行政执法性质</w:t>
            </w:r>
          </w:p>
        </w:tc>
        <w:tc>
          <w:tcPr>
            <w:tcW w:w="11869" w:type="dxa"/>
            <w:gridSpan w:val="4"/>
            <w:vAlign w:val="center"/>
          </w:tcPr>
          <w:p>
            <w:pPr>
              <w:jc w:val="center"/>
              <w:rPr>
                <w:rFonts w:ascii="宋体"/>
                <w:sz w:val="32"/>
                <w:szCs w:val="32"/>
              </w:rPr>
            </w:pPr>
            <w:r>
              <w:rPr>
                <w:rFonts w:hint="eastAsia" w:ascii="宋体" w:hAnsi="宋体"/>
                <w:bCs/>
                <w:sz w:val="32"/>
                <w:szCs w:val="32"/>
              </w:rPr>
              <w:t>依职权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6" w:hRule="atLeast"/>
        </w:trPr>
        <w:tc>
          <w:tcPr>
            <w:tcW w:w="1260" w:type="dxa"/>
            <w:textDirection w:val="tbRlV"/>
            <w:vAlign w:val="center"/>
          </w:tcPr>
          <w:p>
            <w:pPr>
              <w:spacing w:line="440" w:lineRule="exact"/>
              <w:ind w:left="113" w:right="113"/>
              <w:jc w:val="center"/>
              <w:rPr>
                <w:rFonts w:ascii="Times New Roman" w:hAnsi="Times New Roman"/>
                <w:sz w:val="30"/>
                <w:szCs w:val="30"/>
              </w:rPr>
            </w:pPr>
            <w:r>
              <w:rPr>
                <w:rFonts w:hint="eastAsia" w:ascii="Times New Roman" w:hAnsi="Times New Roman"/>
                <w:bCs/>
                <w:sz w:val="30"/>
                <w:szCs w:val="30"/>
              </w:rPr>
              <w:t>行政执法依据</w:t>
            </w:r>
          </w:p>
        </w:tc>
        <w:tc>
          <w:tcPr>
            <w:tcW w:w="12631" w:type="dxa"/>
            <w:gridSpan w:val="5"/>
            <w:vAlign w:val="center"/>
          </w:tcPr>
          <w:p>
            <w:pPr>
              <w:pStyle w:val="12"/>
              <w:spacing w:before="0" w:beforeAutospacing="0" w:after="0" w:afterAutospacing="0"/>
              <w:ind w:firstLine="361" w:firstLineChars="200"/>
              <w:rPr>
                <w:sz w:val="18"/>
                <w:szCs w:val="18"/>
              </w:rPr>
            </w:pPr>
            <w:r>
              <w:rPr>
                <w:rFonts w:hint="eastAsia"/>
                <w:b/>
                <w:bCs/>
                <w:sz w:val="18"/>
                <w:szCs w:val="18"/>
              </w:rPr>
              <w:t>一、主要法律：</w:t>
            </w:r>
            <w:r>
              <w:rPr>
                <w:sz w:val="18"/>
                <w:szCs w:val="18"/>
              </w:rPr>
              <w:t xml:space="preserve"> </w:t>
            </w:r>
            <w:r>
              <w:rPr>
                <w:rFonts w:hint="eastAsia"/>
                <w:sz w:val="18"/>
                <w:szCs w:val="18"/>
              </w:rPr>
              <w:t>《中华人民共和国行政处罚法》《中华人民共和国行政强制法》《中华人民共和国消费者权益保护法》《中华人民共和国产品质量法》《中华人民共和国食品安全法》《中华人民共和国药品管理法》《中华人民共和国计量法》《中华人民共和国标准化法》《中华人民共和国特种设备安全法》《中华人民共和国广告法》《中华人民共和国商标法》《中华人民共和国反不正当竞争法》《中华人民共和国反垄断法》《中华人民共和国公司法》《中华人民共和国安全生产法》等。</w:t>
            </w:r>
          </w:p>
          <w:p>
            <w:pPr>
              <w:pStyle w:val="12"/>
              <w:spacing w:before="0" w:beforeAutospacing="0" w:after="0" w:afterAutospacing="0"/>
              <w:ind w:firstLine="361" w:firstLineChars="200"/>
              <w:rPr>
                <w:sz w:val="18"/>
                <w:szCs w:val="18"/>
              </w:rPr>
            </w:pPr>
            <w:r>
              <w:rPr>
                <w:rFonts w:hint="eastAsia"/>
                <w:b/>
                <w:bCs/>
                <w:sz w:val="18"/>
                <w:szCs w:val="18"/>
              </w:rPr>
              <w:t>二、主要法规：</w:t>
            </w:r>
            <w:r>
              <w:rPr>
                <w:rFonts w:hint="eastAsia"/>
                <w:sz w:val="18"/>
                <w:szCs w:val="18"/>
              </w:rPr>
              <w:t>《中华人民共和国食品安全法实施条例》《中华人民共和国药品管理法实施条例》《中华人民共和国计量法实施细则》《中华人民共和国标准化法实施条例》《中华人民共和国商标法实施条例》《中华人民共和国认证认可条例》《中华人民共和国市场主体登记管理条例》《广告管理条例》《工业产品质量责任条例》《危险化学品安全管理条例》《烟花爆竹安全管理条例》《国务院关于加强食品等产品安全监督管理的特别规定》《行政执法机关移送涉嫌犯罪案件的规定》等。</w:t>
            </w:r>
          </w:p>
          <w:p>
            <w:pPr>
              <w:pStyle w:val="12"/>
              <w:spacing w:before="0" w:beforeAutospacing="0" w:after="0" w:afterAutospacing="0"/>
              <w:ind w:firstLine="361" w:firstLineChars="200"/>
              <w:rPr>
                <w:sz w:val="18"/>
                <w:szCs w:val="18"/>
              </w:rPr>
            </w:pPr>
            <w:r>
              <w:rPr>
                <w:rFonts w:hint="eastAsia"/>
                <w:b/>
                <w:bCs/>
                <w:sz w:val="18"/>
                <w:szCs w:val="18"/>
              </w:rPr>
              <w:t>三、部门规章及规范性文件：</w:t>
            </w:r>
            <w:r>
              <w:rPr>
                <w:rFonts w:hint="eastAsia"/>
                <w:sz w:val="18"/>
                <w:szCs w:val="18"/>
              </w:rPr>
              <w:t>国家市场监督管理总局、国家应急管理部、辽宁省市场监督管理局、辽宁省应急管理局、原国家工商行政管理总局、原国家质量监督检验检疫总局、原国家食品药品监督管理总局、原辽宁省工商行政管理局、原辽宁省质量技术监督局、原辽宁省食品药品监督管理局各种现行办法、规定等。</w:t>
            </w:r>
          </w:p>
          <w:p>
            <w:pPr>
              <w:pStyle w:val="12"/>
              <w:spacing w:before="0" w:beforeAutospacing="0" w:after="0" w:afterAutospacing="0"/>
              <w:ind w:firstLine="361" w:firstLineChars="200"/>
            </w:pPr>
            <w:r>
              <w:rPr>
                <w:rFonts w:hint="eastAsia"/>
                <w:b/>
                <w:bCs/>
                <w:sz w:val="18"/>
                <w:szCs w:val="18"/>
              </w:rPr>
              <w:t>四、地方性条例规范性文件及三定方案：</w:t>
            </w:r>
            <w:r>
              <w:rPr>
                <w:rFonts w:hint="eastAsia"/>
                <w:sz w:val="18"/>
                <w:szCs w:val="18"/>
              </w:rPr>
              <w:t>《大连保税区管理条例》（大连市人民代表大会常务委员会公告第五号）《</w:t>
            </w:r>
            <w:r>
              <w:rPr>
                <w:rFonts w:hint="eastAsia" w:cs="方正小标宋简体"/>
                <w:sz w:val="18"/>
                <w:szCs w:val="18"/>
              </w:rPr>
              <w:t>大连市人民代表大会常务委员会关于开展园区法定机构改革试点工作的决定</w:t>
            </w:r>
            <w:r>
              <w:rPr>
                <w:rFonts w:hint="eastAsia"/>
                <w:sz w:val="18"/>
                <w:szCs w:val="18"/>
              </w:rPr>
              <w:t>》</w:t>
            </w:r>
            <w:r>
              <w:rPr>
                <w:rFonts w:hint="eastAsia" w:cs="楷体_GB2312"/>
                <w:sz w:val="18"/>
                <w:szCs w:val="18"/>
              </w:rPr>
              <w:t>（</w:t>
            </w:r>
            <w:r>
              <w:rPr>
                <w:rFonts w:cs="楷体_GB2312"/>
                <w:sz w:val="18"/>
                <w:szCs w:val="18"/>
              </w:rPr>
              <w:t>2020</w:t>
            </w:r>
            <w:r>
              <w:rPr>
                <w:rFonts w:hint="eastAsia" w:cs="楷体_GB2312"/>
                <w:sz w:val="18"/>
                <w:szCs w:val="18"/>
              </w:rPr>
              <w:t>年</w:t>
            </w:r>
            <w:r>
              <w:rPr>
                <w:rFonts w:cs="楷体_GB2312"/>
                <w:sz w:val="18"/>
                <w:szCs w:val="18"/>
              </w:rPr>
              <w:t>10</w:t>
            </w:r>
            <w:r>
              <w:rPr>
                <w:rFonts w:hint="eastAsia" w:cs="楷体_GB2312"/>
                <w:sz w:val="18"/>
                <w:szCs w:val="18"/>
              </w:rPr>
              <w:t>月</w:t>
            </w:r>
            <w:r>
              <w:rPr>
                <w:rFonts w:cs="楷体_GB2312"/>
                <w:sz w:val="18"/>
                <w:szCs w:val="18"/>
              </w:rPr>
              <w:t>29</w:t>
            </w:r>
            <w:r>
              <w:rPr>
                <w:rFonts w:hint="eastAsia" w:cs="楷体_GB2312"/>
                <w:sz w:val="18"/>
                <w:szCs w:val="18"/>
              </w:rPr>
              <w:t>日大连市第十六届人民代表大会常务委员会第二十四次会议通过）</w:t>
            </w:r>
            <w:r>
              <w:rPr>
                <w:rFonts w:hint="eastAsia"/>
                <w:sz w:val="18"/>
                <w:szCs w:val="18"/>
              </w:rPr>
              <w:t>《中国（辽宁）自由贸易试验区大连片区管理办法》（大连市人民政府令第</w:t>
            </w:r>
            <w:r>
              <w:rPr>
                <w:sz w:val="18"/>
                <w:szCs w:val="18"/>
              </w:rPr>
              <w:t>150</w:t>
            </w:r>
            <w:r>
              <w:rPr>
                <w:rFonts w:hint="eastAsia"/>
                <w:sz w:val="18"/>
                <w:szCs w:val="18"/>
              </w:rPr>
              <w:t>号）《关于在金普新区开展园区法定机构改革试点的指导意见》（大委办发〔</w:t>
            </w:r>
            <w:r>
              <w:rPr>
                <w:sz w:val="18"/>
                <w:szCs w:val="18"/>
              </w:rPr>
              <w:t>2020</w:t>
            </w:r>
            <w:r>
              <w:rPr>
                <w:rFonts w:hint="eastAsia"/>
                <w:sz w:val="18"/>
                <w:szCs w:val="18"/>
              </w:rPr>
              <w:t>〕</w:t>
            </w:r>
            <w:r>
              <w:rPr>
                <w:sz w:val="18"/>
                <w:szCs w:val="18"/>
              </w:rPr>
              <w:t>35</w:t>
            </w:r>
            <w:r>
              <w:rPr>
                <w:rFonts w:hint="eastAsia"/>
                <w:sz w:val="18"/>
                <w:szCs w:val="18"/>
              </w:rPr>
              <w:t>号）《大连金普新区管理委员会关于赋予中国（辽宁）自由贸易试验区大连片区（保税区）管委会一批行政职权的决定》（大金普发〔</w:t>
            </w:r>
            <w:r>
              <w:rPr>
                <w:sz w:val="18"/>
                <w:szCs w:val="18"/>
              </w:rPr>
              <w:t>2020</w:t>
            </w:r>
            <w:r>
              <w:rPr>
                <w:rFonts w:hint="eastAsia"/>
                <w:sz w:val="18"/>
                <w:szCs w:val="18"/>
              </w:rPr>
              <w:t>〕</w:t>
            </w:r>
            <w:r>
              <w:rPr>
                <w:sz w:val="18"/>
                <w:szCs w:val="18"/>
              </w:rPr>
              <w:t>14</w:t>
            </w:r>
            <w:r>
              <w:rPr>
                <w:rFonts w:hint="eastAsia"/>
                <w:sz w:val="18"/>
                <w:szCs w:val="18"/>
              </w:rPr>
              <w:t>号）《中国（辽宁）自由贸易试验区大连片区（保税区）党委、管委会内设机构设置方案》（自贸大委发〔</w:t>
            </w:r>
            <w:r>
              <w:rPr>
                <w:sz w:val="18"/>
                <w:szCs w:val="18"/>
              </w:rPr>
              <w:t>2020</w:t>
            </w:r>
            <w:r>
              <w:rPr>
                <w:rFonts w:hint="eastAsia"/>
                <w:sz w:val="18"/>
                <w:szCs w:val="18"/>
              </w:rPr>
              <w:t>〕</w:t>
            </w:r>
            <w:r>
              <w:rPr>
                <w:sz w:val="18"/>
                <w:szCs w:val="18"/>
              </w:rPr>
              <w:t>15</w:t>
            </w:r>
            <w:r>
              <w:rPr>
                <w:rFonts w:hint="eastAsia"/>
                <w:sz w:val="18"/>
                <w:szCs w:val="18"/>
              </w:rPr>
              <w:t>号）《中国大连自贸片区（保税区）委员会关于印发各部门&lt;主要职责和人员员额规定&gt;的通知》（自贸大委发〔</w:t>
            </w:r>
            <w:r>
              <w:rPr>
                <w:sz w:val="18"/>
                <w:szCs w:val="18"/>
              </w:rPr>
              <w:t>202</w:t>
            </w:r>
            <w:r>
              <w:rPr>
                <w:rFonts w:hint="eastAsia"/>
                <w:sz w:val="18"/>
                <w:szCs w:val="18"/>
              </w:rPr>
              <w:t>1〕21号）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60" w:type="dxa"/>
            <w:gridSpan w:val="3"/>
            <w:vAlign w:val="center"/>
          </w:tcPr>
          <w:p>
            <w:pPr>
              <w:spacing w:line="440" w:lineRule="exact"/>
              <w:jc w:val="center"/>
              <w:rPr>
                <w:rFonts w:ascii="宋体"/>
                <w:bCs/>
                <w:sz w:val="32"/>
                <w:szCs w:val="32"/>
              </w:rPr>
            </w:pPr>
            <w:r>
              <w:rPr>
                <w:rFonts w:hint="eastAsia" w:ascii="宋体" w:hAnsi="宋体"/>
                <w:bCs/>
                <w:sz w:val="30"/>
                <w:szCs w:val="30"/>
              </w:rPr>
              <w:t>执法类别</w:t>
            </w:r>
          </w:p>
        </w:tc>
        <w:tc>
          <w:tcPr>
            <w:tcW w:w="11731" w:type="dxa"/>
            <w:gridSpan w:val="3"/>
            <w:vAlign w:val="center"/>
          </w:tcPr>
          <w:p>
            <w:pPr>
              <w:spacing w:line="440" w:lineRule="exact"/>
              <w:jc w:val="center"/>
              <w:rPr>
                <w:rFonts w:ascii="宋体"/>
                <w:bCs/>
                <w:sz w:val="32"/>
                <w:szCs w:val="32"/>
              </w:rPr>
            </w:pPr>
            <w:r>
              <w:rPr>
                <w:rFonts w:hint="eastAsia" w:ascii="宋体" w:hAnsi="宋体"/>
                <w:bCs/>
                <w:sz w:val="32"/>
                <w:szCs w:val="32"/>
              </w:rPr>
              <w:t>行政处罚、行政强制、行政检查、行政奖励、行政裁决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60" w:type="dxa"/>
            <w:gridSpan w:val="3"/>
            <w:vAlign w:val="center"/>
          </w:tcPr>
          <w:p>
            <w:pPr>
              <w:spacing w:line="440" w:lineRule="exact"/>
              <w:jc w:val="center"/>
              <w:rPr>
                <w:rFonts w:ascii="宋体"/>
                <w:bCs/>
                <w:sz w:val="32"/>
                <w:szCs w:val="32"/>
              </w:rPr>
            </w:pPr>
            <w:r>
              <w:rPr>
                <w:rFonts w:hint="eastAsia" w:ascii="宋体" w:hAnsi="宋体"/>
                <w:bCs/>
                <w:sz w:val="30"/>
                <w:szCs w:val="30"/>
              </w:rPr>
              <w:t>办公地址</w:t>
            </w:r>
          </w:p>
        </w:tc>
        <w:tc>
          <w:tcPr>
            <w:tcW w:w="11731" w:type="dxa"/>
            <w:gridSpan w:val="3"/>
            <w:vAlign w:val="center"/>
          </w:tcPr>
          <w:p>
            <w:pPr>
              <w:spacing w:line="440" w:lineRule="exact"/>
              <w:jc w:val="center"/>
              <w:rPr>
                <w:rFonts w:ascii="宋体"/>
                <w:bCs/>
                <w:sz w:val="32"/>
                <w:szCs w:val="32"/>
              </w:rPr>
            </w:pPr>
            <w:r>
              <w:rPr>
                <w:rFonts w:hint="eastAsia" w:ascii="宋体" w:hAnsi="宋体"/>
                <w:sz w:val="32"/>
                <w:szCs w:val="32"/>
              </w:rPr>
              <w:t>大连自贸片区（保税区）管委会综合服务大楼</w:t>
            </w:r>
            <w:r>
              <w:rPr>
                <w:rFonts w:ascii="宋体" w:hAnsi="宋体"/>
                <w:sz w:val="32"/>
                <w:szCs w:val="32"/>
              </w:rPr>
              <w:t>E</w:t>
            </w:r>
            <w:r>
              <w:rPr>
                <w:rFonts w:hint="eastAsia" w:ascii="宋体" w:hAnsi="宋体"/>
                <w:sz w:val="32"/>
                <w:szCs w:val="32"/>
              </w:rPr>
              <w:t>座</w:t>
            </w:r>
            <w:r>
              <w:rPr>
                <w:rFonts w:ascii="宋体" w:hAnsi="宋体"/>
                <w:sz w:val="32"/>
                <w:szCs w:val="32"/>
              </w:rPr>
              <w:t>21</w:t>
            </w:r>
            <w:r>
              <w:rPr>
                <w:rFonts w:hint="eastAsia" w:ascii="宋体" w:hAnsi="宋体"/>
                <w:sz w:val="32"/>
                <w:szCs w:val="32"/>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160" w:type="dxa"/>
            <w:gridSpan w:val="3"/>
            <w:vAlign w:val="center"/>
          </w:tcPr>
          <w:p>
            <w:pPr>
              <w:spacing w:line="440" w:lineRule="exact"/>
              <w:jc w:val="center"/>
              <w:rPr>
                <w:rFonts w:ascii="宋体"/>
                <w:sz w:val="30"/>
                <w:szCs w:val="30"/>
              </w:rPr>
            </w:pPr>
            <w:bookmarkStart w:id="0" w:name="_GoBack"/>
            <w:bookmarkEnd w:id="0"/>
            <w:r>
              <w:rPr>
                <w:rFonts w:hint="eastAsia" w:ascii="宋体" w:hAnsi="宋体"/>
                <w:sz w:val="30"/>
                <w:szCs w:val="30"/>
              </w:rPr>
              <w:t>办公电话</w:t>
            </w:r>
          </w:p>
        </w:tc>
        <w:tc>
          <w:tcPr>
            <w:tcW w:w="4785" w:type="dxa"/>
            <w:vAlign w:val="center"/>
          </w:tcPr>
          <w:p>
            <w:pPr>
              <w:spacing w:line="440" w:lineRule="exact"/>
              <w:jc w:val="center"/>
              <w:rPr>
                <w:rFonts w:ascii="宋体" w:hAnsi="宋体"/>
                <w:sz w:val="32"/>
                <w:szCs w:val="32"/>
              </w:rPr>
            </w:pPr>
            <w:r>
              <w:rPr>
                <w:rFonts w:ascii="宋体" w:hAnsi="宋体"/>
                <w:sz w:val="32"/>
                <w:szCs w:val="32"/>
              </w:rPr>
              <w:t>87319891</w:t>
            </w:r>
          </w:p>
        </w:tc>
        <w:tc>
          <w:tcPr>
            <w:tcW w:w="2235" w:type="dxa"/>
            <w:vAlign w:val="center"/>
          </w:tcPr>
          <w:p>
            <w:pPr>
              <w:spacing w:line="440" w:lineRule="exact"/>
              <w:jc w:val="center"/>
              <w:rPr>
                <w:rFonts w:ascii="宋体"/>
                <w:sz w:val="30"/>
                <w:szCs w:val="30"/>
              </w:rPr>
            </w:pPr>
            <w:r>
              <w:rPr>
                <w:rFonts w:hint="eastAsia" w:ascii="宋体" w:hAnsi="宋体"/>
                <w:sz w:val="30"/>
                <w:szCs w:val="30"/>
              </w:rPr>
              <w:t>负责人</w:t>
            </w:r>
          </w:p>
        </w:tc>
        <w:tc>
          <w:tcPr>
            <w:tcW w:w="4711" w:type="dxa"/>
            <w:vAlign w:val="center"/>
          </w:tcPr>
          <w:p>
            <w:pPr>
              <w:spacing w:line="440" w:lineRule="exact"/>
              <w:jc w:val="center"/>
              <w:rPr>
                <w:rFonts w:hint="eastAsia" w:ascii="宋体" w:eastAsia="宋体"/>
                <w:sz w:val="32"/>
                <w:szCs w:val="32"/>
                <w:lang w:eastAsia="zh-CN"/>
              </w:rPr>
            </w:pPr>
            <w:r>
              <w:rPr>
                <w:rFonts w:hint="eastAsia" w:ascii="宋体" w:hAnsi="宋体"/>
                <w:sz w:val="32"/>
                <w:szCs w:val="32"/>
                <w:lang w:val="en-US" w:eastAsia="zh-CN"/>
              </w:rPr>
              <w:t>董润明</w:t>
            </w:r>
          </w:p>
        </w:tc>
      </w:tr>
    </w:tbl>
    <w:p>
      <w:pPr>
        <w:tabs>
          <w:tab w:val="left" w:pos="2303"/>
        </w:tabs>
        <w:spacing w:line="440" w:lineRule="exact"/>
        <w:jc w:val="center"/>
        <w:rPr>
          <w:rFonts w:ascii="黑体" w:hAnsi="黑体" w:eastAsia="黑体"/>
          <w:sz w:val="36"/>
          <w:szCs w:val="36"/>
        </w:rPr>
      </w:pPr>
      <w:r>
        <w:rPr>
          <w:rFonts w:ascii="黑体" w:hAnsi="黑体" w:eastAsia="黑体"/>
          <w:sz w:val="36"/>
          <w:szCs w:val="36"/>
        </w:rPr>
        <w:t xml:space="preserve">                   </w:t>
      </w:r>
      <w:r>
        <w:rPr>
          <w:rFonts w:ascii="仿宋_GB2312" w:hAnsi="黑体" w:eastAsia="仿宋_GB2312"/>
          <w:sz w:val="36"/>
          <w:szCs w:val="36"/>
        </w:rPr>
        <w:t xml:space="preserve">   </w:t>
      </w:r>
    </w:p>
    <w:sectPr>
      <w:pgSz w:w="16838" w:h="11906" w:orient="landscape"/>
      <w:pgMar w:top="1134" w:right="1361" w:bottom="1134" w:left="1361" w:header="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E4NDcwMWJhNDQ0YzExZjY5Zjc2MTIyMWIzMGE1ZjgifQ=="/>
  </w:docVars>
  <w:rsids>
    <w:rsidRoot w:val="00671AB1"/>
    <w:rsid w:val="00027274"/>
    <w:rsid w:val="00030821"/>
    <w:rsid w:val="00053790"/>
    <w:rsid w:val="00073536"/>
    <w:rsid w:val="00075D1B"/>
    <w:rsid w:val="000A399A"/>
    <w:rsid w:val="000B1C32"/>
    <w:rsid w:val="000C25E2"/>
    <w:rsid w:val="000C3A8B"/>
    <w:rsid w:val="000C4BA3"/>
    <w:rsid w:val="000C4BC5"/>
    <w:rsid w:val="000D3915"/>
    <w:rsid w:val="000F20BA"/>
    <w:rsid w:val="001369BB"/>
    <w:rsid w:val="001B56BC"/>
    <w:rsid w:val="001E1349"/>
    <w:rsid w:val="002016C1"/>
    <w:rsid w:val="002029E7"/>
    <w:rsid w:val="00210F77"/>
    <w:rsid w:val="00272DA4"/>
    <w:rsid w:val="00282E08"/>
    <w:rsid w:val="002B6874"/>
    <w:rsid w:val="002D212F"/>
    <w:rsid w:val="002F0244"/>
    <w:rsid w:val="00384AAE"/>
    <w:rsid w:val="00397411"/>
    <w:rsid w:val="003A5D6A"/>
    <w:rsid w:val="003D55D0"/>
    <w:rsid w:val="003E1AD6"/>
    <w:rsid w:val="003E3080"/>
    <w:rsid w:val="003F18F8"/>
    <w:rsid w:val="0042792F"/>
    <w:rsid w:val="004371F3"/>
    <w:rsid w:val="0048681F"/>
    <w:rsid w:val="00490D08"/>
    <w:rsid w:val="004911B6"/>
    <w:rsid w:val="004974AC"/>
    <w:rsid w:val="004A607E"/>
    <w:rsid w:val="004E1DBA"/>
    <w:rsid w:val="005959FA"/>
    <w:rsid w:val="005A21E4"/>
    <w:rsid w:val="005B6099"/>
    <w:rsid w:val="005E4D3B"/>
    <w:rsid w:val="005E7ABC"/>
    <w:rsid w:val="00671AB1"/>
    <w:rsid w:val="006F10D4"/>
    <w:rsid w:val="007065DF"/>
    <w:rsid w:val="00706F4C"/>
    <w:rsid w:val="0071254B"/>
    <w:rsid w:val="00725546"/>
    <w:rsid w:val="00750E58"/>
    <w:rsid w:val="00751957"/>
    <w:rsid w:val="0075316F"/>
    <w:rsid w:val="0076388F"/>
    <w:rsid w:val="00777078"/>
    <w:rsid w:val="00793445"/>
    <w:rsid w:val="007B1D6F"/>
    <w:rsid w:val="00811793"/>
    <w:rsid w:val="00831F9A"/>
    <w:rsid w:val="008542A0"/>
    <w:rsid w:val="008B1B92"/>
    <w:rsid w:val="008E4D07"/>
    <w:rsid w:val="0090124F"/>
    <w:rsid w:val="00911896"/>
    <w:rsid w:val="009A4BA8"/>
    <w:rsid w:val="009D0776"/>
    <w:rsid w:val="009E7493"/>
    <w:rsid w:val="009F7CAC"/>
    <w:rsid w:val="00A30292"/>
    <w:rsid w:val="00A768A2"/>
    <w:rsid w:val="00A95FE5"/>
    <w:rsid w:val="00AC0B4D"/>
    <w:rsid w:val="00AE1E71"/>
    <w:rsid w:val="00B273C0"/>
    <w:rsid w:val="00B27823"/>
    <w:rsid w:val="00B31DD5"/>
    <w:rsid w:val="00B46FD1"/>
    <w:rsid w:val="00B474D8"/>
    <w:rsid w:val="00B67733"/>
    <w:rsid w:val="00B74C43"/>
    <w:rsid w:val="00BA12EF"/>
    <w:rsid w:val="00BB1410"/>
    <w:rsid w:val="00C26511"/>
    <w:rsid w:val="00C442F1"/>
    <w:rsid w:val="00C9715E"/>
    <w:rsid w:val="00CA7B80"/>
    <w:rsid w:val="00CC37B0"/>
    <w:rsid w:val="00CC3ABC"/>
    <w:rsid w:val="00CE30BB"/>
    <w:rsid w:val="00D004CE"/>
    <w:rsid w:val="00D804A3"/>
    <w:rsid w:val="00D94915"/>
    <w:rsid w:val="00D977B7"/>
    <w:rsid w:val="00DA00CF"/>
    <w:rsid w:val="00DB3F1F"/>
    <w:rsid w:val="00E227E3"/>
    <w:rsid w:val="00E26C68"/>
    <w:rsid w:val="00E26F2E"/>
    <w:rsid w:val="00E354F3"/>
    <w:rsid w:val="00E75D31"/>
    <w:rsid w:val="00E80395"/>
    <w:rsid w:val="00ED33E7"/>
    <w:rsid w:val="00EE70D5"/>
    <w:rsid w:val="00F07C22"/>
    <w:rsid w:val="00F167E7"/>
    <w:rsid w:val="00F958A5"/>
    <w:rsid w:val="00FF7250"/>
    <w:rsid w:val="01E91C1F"/>
    <w:rsid w:val="04DB233C"/>
    <w:rsid w:val="060263C8"/>
    <w:rsid w:val="062B6E24"/>
    <w:rsid w:val="085E63C0"/>
    <w:rsid w:val="08845FA7"/>
    <w:rsid w:val="08D31B0B"/>
    <w:rsid w:val="090246D2"/>
    <w:rsid w:val="09D163E0"/>
    <w:rsid w:val="0BC70730"/>
    <w:rsid w:val="0BEB7609"/>
    <w:rsid w:val="0C732321"/>
    <w:rsid w:val="0EF720B1"/>
    <w:rsid w:val="10831852"/>
    <w:rsid w:val="11D16A61"/>
    <w:rsid w:val="11F03060"/>
    <w:rsid w:val="127D32F7"/>
    <w:rsid w:val="12B157AC"/>
    <w:rsid w:val="13D4388B"/>
    <w:rsid w:val="13E6033A"/>
    <w:rsid w:val="150B6FBF"/>
    <w:rsid w:val="151D1DDD"/>
    <w:rsid w:val="158948A6"/>
    <w:rsid w:val="16160768"/>
    <w:rsid w:val="16A44589"/>
    <w:rsid w:val="170F72EA"/>
    <w:rsid w:val="177A3518"/>
    <w:rsid w:val="17944090"/>
    <w:rsid w:val="18732A00"/>
    <w:rsid w:val="18EF3635"/>
    <w:rsid w:val="18F71EAD"/>
    <w:rsid w:val="19B92A59"/>
    <w:rsid w:val="1C4E2845"/>
    <w:rsid w:val="1D377F29"/>
    <w:rsid w:val="1D53538D"/>
    <w:rsid w:val="1FB82045"/>
    <w:rsid w:val="1FE53ECD"/>
    <w:rsid w:val="21847EC4"/>
    <w:rsid w:val="2276256F"/>
    <w:rsid w:val="22853A30"/>
    <w:rsid w:val="22EB04F9"/>
    <w:rsid w:val="23994E7A"/>
    <w:rsid w:val="23F72E50"/>
    <w:rsid w:val="244E13DA"/>
    <w:rsid w:val="25133089"/>
    <w:rsid w:val="252C6FB4"/>
    <w:rsid w:val="256B41FE"/>
    <w:rsid w:val="25911106"/>
    <w:rsid w:val="2598286D"/>
    <w:rsid w:val="266303F7"/>
    <w:rsid w:val="26BB366B"/>
    <w:rsid w:val="26BE5F73"/>
    <w:rsid w:val="26FB0BF9"/>
    <w:rsid w:val="281B732C"/>
    <w:rsid w:val="28682A62"/>
    <w:rsid w:val="29130043"/>
    <w:rsid w:val="29E33C48"/>
    <w:rsid w:val="2A6E113D"/>
    <w:rsid w:val="2BA46F9D"/>
    <w:rsid w:val="2BE56D5A"/>
    <w:rsid w:val="2CF97A4C"/>
    <w:rsid w:val="2E1477B8"/>
    <w:rsid w:val="2FC0739E"/>
    <w:rsid w:val="3048146D"/>
    <w:rsid w:val="31302E0F"/>
    <w:rsid w:val="3136565E"/>
    <w:rsid w:val="31AB3FCB"/>
    <w:rsid w:val="33664B1E"/>
    <w:rsid w:val="35841B43"/>
    <w:rsid w:val="35EB485A"/>
    <w:rsid w:val="363F5CB9"/>
    <w:rsid w:val="36636A7A"/>
    <w:rsid w:val="3B3E70DE"/>
    <w:rsid w:val="3B5A2F4A"/>
    <w:rsid w:val="3D1E1EFB"/>
    <w:rsid w:val="3D7D1165"/>
    <w:rsid w:val="3E597384"/>
    <w:rsid w:val="3EB95806"/>
    <w:rsid w:val="3F6A4E0B"/>
    <w:rsid w:val="3FFF6BE1"/>
    <w:rsid w:val="4490286E"/>
    <w:rsid w:val="45C03C50"/>
    <w:rsid w:val="46C954FD"/>
    <w:rsid w:val="479A133C"/>
    <w:rsid w:val="484909F8"/>
    <w:rsid w:val="48DB6EB3"/>
    <w:rsid w:val="49D01840"/>
    <w:rsid w:val="4C292AA0"/>
    <w:rsid w:val="4D5F0198"/>
    <w:rsid w:val="4D962AB8"/>
    <w:rsid w:val="4E7F1EB5"/>
    <w:rsid w:val="51A165AF"/>
    <w:rsid w:val="52BF6631"/>
    <w:rsid w:val="538E282D"/>
    <w:rsid w:val="541C78BE"/>
    <w:rsid w:val="54E0490C"/>
    <w:rsid w:val="5516331F"/>
    <w:rsid w:val="55512267"/>
    <w:rsid w:val="559D0238"/>
    <w:rsid w:val="56A8404E"/>
    <w:rsid w:val="57B5189A"/>
    <w:rsid w:val="58336835"/>
    <w:rsid w:val="59794D31"/>
    <w:rsid w:val="5B7A1AFD"/>
    <w:rsid w:val="5BBC49BA"/>
    <w:rsid w:val="5BD455D3"/>
    <w:rsid w:val="5C426043"/>
    <w:rsid w:val="5C6E6171"/>
    <w:rsid w:val="5D377CAA"/>
    <w:rsid w:val="5D8E7712"/>
    <w:rsid w:val="5EAF03BB"/>
    <w:rsid w:val="5F1A1751"/>
    <w:rsid w:val="616E0165"/>
    <w:rsid w:val="61F10B20"/>
    <w:rsid w:val="62753B88"/>
    <w:rsid w:val="636812BC"/>
    <w:rsid w:val="637757D1"/>
    <w:rsid w:val="63B941E8"/>
    <w:rsid w:val="63DA1891"/>
    <w:rsid w:val="64BA1C57"/>
    <w:rsid w:val="64D82F3C"/>
    <w:rsid w:val="659B1202"/>
    <w:rsid w:val="65B77064"/>
    <w:rsid w:val="664A52F9"/>
    <w:rsid w:val="66C723B3"/>
    <w:rsid w:val="67E0193D"/>
    <w:rsid w:val="67ED525E"/>
    <w:rsid w:val="684A0BCC"/>
    <w:rsid w:val="6B64047C"/>
    <w:rsid w:val="6C271E41"/>
    <w:rsid w:val="6C3457FC"/>
    <w:rsid w:val="6CA35459"/>
    <w:rsid w:val="6D8B6330"/>
    <w:rsid w:val="6EE51426"/>
    <w:rsid w:val="6FD66C4C"/>
    <w:rsid w:val="70653A8C"/>
    <w:rsid w:val="71303292"/>
    <w:rsid w:val="71D752B8"/>
    <w:rsid w:val="71DB3A28"/>
    <w:rsid w:val="7204623E"/>
    <w:rsid w:val="721E51E8"/>
    <w:rsid w:val="72677C16"/>
    <w:rsid w:val="73833A89"/>
    <w:rsid w:val="76AA2CFF"/>
    <w:rsid w:val="77893368"/>
    <w:rsid w:val="78DF7E3C"/>
    <w:rsid w:val="7AB55285"/>
    <w:rsid w:val="7B6554B3"/>
    <w:rsid w:val="7BC176CA"/>
    <w:rsid w:val="7CD262CD"/>
    <w:rsid w:val="7D7439F2"/>
    <w:rsid w:val="7E8B119A"/>
    <w:rsid w:val="7F151F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99"/>
    <w:pPr>
      <w:spacing w:beforeAutospacing="1" w:afterAutospacing="1"/>
      <w:jc w:val="left"/>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spacing w:beforeAutospacing="1" w:afterAutospacing="1"/>
      <w:jc w:val="left"/>
    </w:pPr>
    <w:rPr>
      <w:kern w:val="0"/>
      <w:sz w:val="24"/>
    </w:rPr>
  </w:style>
  <w:style w:type="table" w:styleId="7">
    <w:name w:val="Table Grid"/>
    <w:basedOn w:val="6"/>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Char"/>
    <w:link w:val="2"/>
    <w:locked/>
    <w:uiPriority w:val="99"/>
    <w:rPr>
      <w:rFonts w:ascii="Calibri" w:hAnsi="Calibri" w:cs="Times New Roman"/>
      <w:b/>
      <w:kern w:val="44"/>
      <w:sz w:val="44"/>
    </w:rPr>
  </w:style>
  <w:style w:type="character" w:customStyle="1" w:styleId="10">
    <w:name w:val="页脚 Char"/>
    <w:link w:val="3"/>
    <w:locked/>
    <w:uiPriority w:val="99"/>
    <w:rPr>
      <w:rFonts w:ascii="Calibri" w:hAnsi="Calibri" w:eastAsia="宋体" w:cs="Times New Roman"/>
      <w:kern w:val="2"/>
      <w:sz w:val="18"/>
    </w:rPr>
  </w:style>
  <w:style w:type="character" w:customStyle="1" w:styleId="11">
    <w:name w:val="页眉 Char"/>
    <w:link w:val="4"/>
    <w:qFormat/>
    <w:locked/>
    <w:uiPriority w:val="99"/>
    <w:rPr>
      <w:rFonts w:ascii="Calibri" w:hAnsi="Calibri" w:eastAsia="宋体" w:cs="Times New Roman"/>
      <w:kern w:val="2"/>
      <w:sz w:val="18"/>
    </w:rPr>
  </w:style>
  <w:style w:type="paragraph" w:customStyle="1" w:styleId="12">
    <w:name w:val="through-content content-indent"/>
    <w:basedOn w:val="1"/>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1119</Words>
  <Characters>1158</Characters>
  <Lines>8</Lines>
  <Paragraphs>2</Paragraphs>
  <TotalTime>291</TotalTime>
  <ScaleCrop>false</ScaleCrop>
  <LinksUpToDate>false</LinksUpToDate>
  <CharactersWithSpaces>1206</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2019-08-27T02:57:00Z</dcterms:created>
  <dc:creator>lenovo</dc:creator>
  <cp:lastModifiedBy>momo</cp:lastModifiedBy>
  <cp:lastPrinted>2021-01-20T06:51:00Z</cp:lastPrinted>
  <dcterms:modified xsi:type="dcterms:W3CDTF">2024-08-20T05:35:43Z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771FF7FA08224065B7940271129C41D3_12</vt:lpwstr>
  </property>
</Properties>
</file>