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5E161">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金普新区促进汽车及零部件产业</w:t>
      </w:r>
    </w:p>
    <w:p w14:paraId="15A83EE3">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高质量发展工作方案（试行）</w:t>
      </w:r>
      <w:r>
        <w:rPr>
          <w:rFonts w:hint="eastAsia" w:ascii="方正小标宋简体" w:hAnsi="方正小标宋简体" w:eastAsia="方正小标宋简体" w:cs="方正小标宋简体"/>
          <w:sz w:val="44"/>
          <w:szCs w:val="44"/>
          <w:lang w:eastAsia="zh-CN"/>
        </w:rPr>
        <w:t>》</w:t>
      </w:r>
    </w:p>
    <w:p w14:paraId="53B49A9A">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的起草说明</w:t>
      </w:r>
    </w:p>
    <w:p w14:paraId="529BE002">
      <w:pPr>
        <w:spacing w:line="560" w:lineRule="exact"/>
        <w:ind w:firstLine="640" w:firstLineChars="200"/>
        <w:rPr>
          <w:rFonts w:ascii="Times New Roman" w:hAnsi="Times New Roman" w:eastAsia="仿宋_GB2312" w:cs="Times New Roman"/>
          <w:sz w:val="32"/>
          <w:szCs w:val="32"/>
        </w:rPr>
      </w:pPr>
    </w:p>
    <w:p w14:paraId="40ED934E">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为加快推进金普新区汽车</w:t>
      </w:r>
      <w:r>
        <w:rPr>
          <w:rFonts w:hint="eastAsia" w:ascii="Times New Roman" w:hAnsi="Times New Roman" w:eastAsia="仿宋_GB2312" w:cs="Times New Roman"/>
          <w:sz w:val="32"/>
          <w:szCs w:val="32"/>
          <w:lang w:eastAsia="zh-CN"/>
        </w:rPr>
        <w:t>及零部件</w:t>
      </w:r>
      <w:r>
        <w:rPr>
          <w:rFonts w:hint="eastAsia" w:ascii="Times New Roman" w:hAnsi="Times New Roman" w:eastAsia="仿宋_GB2312" w:cs="Times New Roman"/>
          <w:sz w:val="32"/>
          <w:szCs w:val="32"/>
        </w:rPr>
        <w:t>产业向新能源、智能化方向转型升级，打造具有核心竞争力的汽车及零部件产业集群，推动新区汽车</w:t>
      </w:r>
      <w:r>
        <w:rPr>
          <w:rFonts w:hint="eastAsia" w:ascii="Times New Roman" w:hAnsi="Times New Roman" w:eastAsia="仿宋_GB2312" w:cs="Times New Roman"/>
          <w:sz w:val="32"/>
          <w:szCs w:val="32"/>
          <w:lang w:eastAsia="zh-CN"/>
        </w:rPr>
        <w:t>及零部件</w:t>
      </w:r>
      <w:r>
        <w:rPr>
          <w:rFonts w:hint="eastAsia" w:ascii="Times New Roman" w:hAnsi="Times New Roman" w:eastAsia="仿宋_GB2312" w:cs="Times New Roman"/>
          <w:sz w:val="32"/>
          <w:szCs w:val="32"/>
        </w:rPr>
        <w:t>产业高质量发展，参照国内先进地区经验和</w:t>
      </w:r>
      <w:r>
        <w:rPr>
          <w:rFonts w:hint="eastAsia" w:ascii="Times New Roman" w:hAnsi="Times New Roman" w:eastAsia="仿宋_GB2312" w:cs="Times New Roman"/>
          <w:sz w:val="32"/>
          <w:szCs w:val="32"/>
          <w:lang w:eastAsia="zh-CN"/>
        </w:rPr>
        <w:t>国家、</w:t>
      </w:r>
      <w:r>
        <w:rPr>
          <w:rFonts w:hint="eastAsia" w:ascii="Times New Roman" w:hAnsi="Times New Roman" w:eastAsia="仿宋_GB2312" w:cs="Times New Roman"/>
          <w:sz w:val="32"/>
          <w:szCs w:val="32"/>
        </w:rPr>
        <w:t>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市</w:t>
      </w:r>
      <w:r>
        <w:rPr>
          <w:rFonts w:hint="eastAsia" w:ascii="Times New Roman" w:hAnsi="Times New Roman" w:eastAsia="仿宋_GB2312" w:cs="Times New Roman"/>
          <w:sz w:val="32"/>
          <w:szCs w:val="32"/>
          <w:lang w:eastAsia="zh-CN"/>
        </w:rPr>
        <w:t>、区</w:t>
      </w:r>
      <w:r>
        <w:rPr>
          <w:rFonts w:hint="eastAsia" w:ascii="Times New Roman" w:hAnsi="Times New Roman" w:eastAsia="仿宋_GB2312" w:cs="Times New Roman"/>
          <w:sz w:val="32"/>
          <w:szCs w:val="32"/>
        </w:rPr>
        <w:t>重点产业政策，结合新区实际，制定了《金普新区促进汽车及零部件产业高质量发展工作方案（试行）》。现将主要内容说明如下。</w:t>
      </w:r>
    </w:p>
    <w:p w14:paraId="7538E45C">
      <w:pPr>
        <w:spacing w:line="560" w:lineRule="exact"/>
        <w:ind w:firstLine="645"/>
        <w:rPr>
          <w:rFonts w:ascii="Times New Roman" w:hAnsi="Times New Roman" w:eastAsia="黑体" w:cs="Times New Roman"/>
          <w:sz w:val="32"/>
          <w:szCs w:val="32"/>
        </w:rPr>
      </w:pPr>
      <w:r>
        <w:rPr>
          <w:rFonts w:ascii="Times New Roman" w:hAnsi="Times New Roman" w:eastAsia="黑体" w:cs="Times New Roman"/>
          <w:sz w:val="32"/>
          <w:szCs w:val="32"/>
        </w:rPr>
        <w:t>一、起草背景</w:t>
      </w:r>
    </w:p>
    <w:p w14:paraId="2541C25B">
      <w:pPr>
        <w:spacing w:line="560" w:lineRule="exact"/>
        <w:ind w:firstLine="645"/>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汽车</w:t>
      </w:r>
      <w:r>
        <w:rPr>
          <w:rFonts w:hint="eastAsia" w:ascii="Times New Roman" w:hAnsi="Times New Roman" w:eastAsia="仿宋_GB2312" w:cs="Times New Roman"/>
          <w:sz w:val="32"/>
          <w:szCs w:val="32"/>
          <w:lang w:eastAsia="zh-CN"/>
        </w:rPr>
        <w:t>及零部件</w:t>
      </w:r>
      <w:r>
        <w:rPr>
          <w:rFonts w:hint="eastAsia" w:ascii="Times New Roman" w:hAnsi="Times New Roman" w:eastAsia="仿宋_GB2312" w:cs="Times New Roman"/>
          <w:sz w:val="32"/>
          <w:szCs w:val="32"/>
        </w:rPr>
        <w:t>产业是金普新区的支柱产业之一，目前正处在向新能源、智能化方向转型的关键阶段。为强化产业引导，助力汽车</w:t>
      </w:r>
      <w:r>
        <w:rPr>
          <w:rFonts w:hint="eastAsia" w:ascii="Times New Roman" w:hAnsi="Times New Roman" w:eastAsia="仿宋_GB2312" w:cs="Times New Roman"/>
          <w:sz w:val="32"/>
          <w:szCs w:val="32"/>
          <w:lang w:eastAsia="zh-CN"/>
        </w:rPr>
        <w:t>及零部件</w:t>
      </w:r>
      <w:r>
        <w:rPr>
          <w:rFonts w:hint="eastAsia" w:ascii="Times New Roman" w:hAnsi="Times New Roman" w:eastAsia="仿宋_GB2312" w:cs="Times New Roman"/>
          <w:sz w:val="32"/>
          <w:szCs w:val="32"/>
        </w:rPr>
        <w:t>产业转型升级，进一步增强核心竞争力，</w:t>
      </w:r>
      <w:r>
        <w:rPr>
          <w:rFonts w:hint="eastAsia" w:ascii="Times New Roman" w:hAnsi="Times New Roman" w:eastAsia="仿宋_GB2312" w:cs="Times New Roman"/>
          <w:sz w:val="32"/>
          <w:szCs w:val="32"/>
          <w:lang w:eastAsia="zh-CN"/>
        </w:rPr>
        <w:t>新区</w:t>
      </w:r>
      <w:r>
        <w:rPr>
          <w:rFonts w:hint="eastAsia" w:ascii="Times New Roman" w:hAnsi="Times New Roman" w:eastAsia="仿宋_GB2312" w:cs="Times New Roman"/>
          <w:sz w:val="32"/>
          <w:szCs w:val="32"/>
        </w:rPr>
        <w:t>商务局</w:t>
      </w:r>
      <w:r>
        <w:rPr>
          <w:rFonts w:hint="eastAsia" w:ascii="Times New Roman" w:hAnsi="Times New Roman" w:eastAsia="仿宋_GB2312" w:cs="Times New Roman"/>
          <w:sz w:val="32"/>
          <w:szCs w:val="32"/>
          <w:lang w:eastAsia="zh-CN"/>
        </w:rPr>
        <w:t>会同大连自贸片区（</w:t>
      </w:r>
      <w:r>
        <w:rPr>
          <w:rFonts w:hint="eastAsia" w:ascii="Times New Roman" w:hAnsi="Times New Roman" w:eastAsia="仿宋_GB2312" w:cs="Times New Roman"/>
          <w:sz w:val="32"/>
          <w:szCs w:val="32"/>
        </w:rPr>
        <w:t>保税区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，结合新区实际情况，制定本</w:t>
      </w:r>
      <w:r>
        <w:rPr>
          <w:rFonts w:hint="eastAsia" w:ascii="Times New Roman" w:hAnsi="Times New Roman" w:eastAsia="仿宋_GB2312" w:cs="Times New Roman"/>
          <w:sz w:val="32"/>
          <w:szCs w:val="32"/>
          <w:lang w:eastAsia="zh-CN"/>
        </w:rPr>
        <w:t>方案</w:t>
      </w:r>
      <w:r>
        <w:rPr>
          <w:rFonts w:hint="eastAsia" w:ascii="Times New Roman" w:hAnsi="Times New Roman" w:eastAsia="仿宋_GB2312" w:cs="Times New Roman"/>
          <w:sz w:val="32"/>
          <w:szCs w:val="32"/>
        </w:rPr>
        <w:t>。</w:t>
      </w:r>
    </w:p>
    <w:p w14:paraId="122266FB">
      <w:pPr>
        <w:spacing w:line="560" w:lineRule="exact"/>
        <w:ind w:firstLine="645"/>
        <w:rPr>
          <w:rFonts w:hint="eastAsia" w:ascii="Times New Roman" w:hAnsi="Times New Roman" w:eastAsia="黑体" w:cs="Times New Roman"/>
          <w:sz w:val="32"/>
          <w:szCs w:val="32"/>
        </w:rPr>
      </w:pPr>
      <w:r>
        <w:rPr>
          <w:rFonts w:ascii="Times New Roman" w:hAnsi="Times New Roman" w:eastAsia="黑体" w:cs="Times New Roman"/>
          <w:sz w:val="32"/>
          <w:szCs w:val="32"/>
        </w:rPr>
        <w:t>二、</w:t>
      </w:r>
      <w:r>
        <w:rPr>
          <w:rFonts w:hint="eastAsia" w:ascii="Times New Roman" w:hAnsi="Times New Roman" w:eastAsia="黑体" w:cs="Times New Roman"/>
          <w:sz w:val="32"/>
          <w:szCs w:val="32"/>
        </w:rPr>
        <w:t>制定参考依据</w:t>
      </w:r>
    </w:p>
    <w:p w14:paraId="1AFCB980">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w:t>
      </w:r>
      <w:r>
        <w:rPr>
          <w:rFonts w:hint="eastAsia" w:ascii="Times New Roman" w:hAnsi="Times New Roman" w:eastAsia="仿宋_GB2312" w:cs="Times New Roman"/>
          <w:sz w:val="32"/>
          <w:szCs w:val="32"/>
          <w:lang w:eastAsia="zh-CN"/>
        </w:rPr>
        <w:t>方案</w:t>
      </w:r>
      <w:r>
        <w:rPr>
          <w:rFonts w:hint="eastAsia" w:ascii="Times New Roman" w:hAnsi="Times New Roman" w:eastAsia="仿宋_GB2312" w:cs="Times New Roman"/>
          <w:sz w:val="32"/>
          <w:szCs w:val="32"/>
        </w:rPr>
        <w:t>在制定过程中，参考了</w:t>
      </w:r>
      <w:r>
        <w:rPr>
          <w:rFonts w:hint="eastAsia" w:ascii="Times New Roman" w:hAnsi="Times New Roman" w:eastAsia="仿宋_GB2312" w:cs="Times New Roman"/>
          <w:sz w:val="32"/>
          <w:szCs w:val="32"/>
          <w:lang w:eastAsia="zh-CN"/>
        </w:rPr>
        <w:t>国家、</w:t>
      </w:r>
      <w:r>
        <w:rPr>
          <w:rFonts w:hint="eastAsia" w:ascii="Times New Roman" w:hAnsi="Times New Roman" w:eastAsia="仿宋_GB2312" w:cs="Times New Roman"/>
          <w:sz w:val="32"/>
          <w:szCs w:val="32"/>
        </w:rPr>
        <w:t>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市</w:t>
      </w:r>
      <w:r>
        <w:rPr>
          <w:rFonts w:hint="eastAsia" w:ascii="Times New Roman" w:hAnsi="Times New Roman" w:eastAsia="仿宋_GB2312" w:cs="Times New Roman"/>
          <w:sz w:val="32"/>
          <w:szCs w:val="32"/>
          <w:lang w:eastAsia="zh-CN"/>
        </w:rPr>
        <w:t>、区</w:t>
      </w:r>
      <w:r>
        <w:rPr>
          <w:rFonts w:hint="eastAsia" w:ascii="Times New Roman" w:hAnsi="Times New Roman" w:eastAsia="仿宋_GB2312" w:cs="Times New Roman"/>
          <w:sz w:val="32"/>
          <w:szCs w:val="32"/>
        </w:rPr>
        <w:t>重点产业政策。包括：</w:t>
      </w:r>
    </w:p>
    <w:p w14:paraId="47DC3168">
      <w:pPr>
        <w:numPr>
          <w:ilvl w:val="0"/>
          <w:numId w:val="1"/>
        </w:num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国务院办公厅关于印发《健全新能源汽车动力电池回收利用体系行动方案》的通知；</w:t>
      </w:r>
    </w:p>
    <w:p w14:paraId="68CE44EC">
      <w:pPr>
        <w:numPr>
          <w:ilvl w:val="0"/>
          <w:numId w:val="1"/>
        </w:num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工业和信息化部等八部门关于印发《汽车行业稳增长工作方案（2025</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2026年）》的通知</w:t>
      </w:r>
      <w:r>
        <w:rPr>
          <w:rFonts w:hint="eastAsia" w:ascii="Times New Roman" w:hAnsi="Times New Roman" w:eastAsia="仿宋_GB2312" w:cs="Times New Roman"/>
          <w:sz w:val="32"/>
          <w:szCs w:val="32"/>
          <w:lang w:eastAsia="zh-CN"/>
        </w:rPr>
        <w:t>；</w:t>
      </w:r>
    </w:p>
    <w:p w14:paraId="3CA241F5">
      <w:pPr>
        <w:numPr>
          <w:ilvl w:val="0"/>
          <w:numId w:val="1"/>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辽宁省人民政府关于印发《辽宁省经济社会若干领域稳增长惠民生政策举措》的通知；</w:t>
      </w:r>
    </w:p>
    <w:p w14:paraId="46281FD7">
      <w:pPr>
        <w:numPr>
          <w:ilvl w:val="0"/>
          <w:numId w:val="1"/>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广州市人民政府办公厅关于印发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广州市推动智能网联新能源汽车产业发展三年行动计划</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的通知</w:t>
      </w:r>
      <w:r>
        <w:rPr>
          <w:rFonts w:hint="eastAsia" w:ascii="Times New Roman" w:hAnsi="Times New Roman" w:eastAsia="仿宋_GB2312" w:cs="Times New Roman"/>
          <w:sz w:val="32"/>
          <w:szCs w:val="32"/>
          <w:lang w:eastAsia="zh-CN"/>
        </w:rPr>
        <w:t>；</w:t>
      </w:r>
    </w:p>
    <w:p w14:paraId="1D15CF70">
      <w:pPr>
        <w:numPr>
          <w:ilvl w:val="0"/>
          <w:numId w:val="1"/>
        </w:num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大连市人民政府办公厅关于印发《大连市支持盘活存量土地若干政策》的通知；</w:t>
      </w:r>
    </w:p>
    <w:p w14:paraId="67F86BFD">
      <w:pPr>
        <w:numPr>
          <w:ilvl w:val="0"/>
          <w:numId w:val="1"/>
        </w:num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大连市人民政府办公厅关于印发《大连市支持产业发展落实产业用地政策实施细则》的通知；</w:t>
      </w:r>
    </w:p>
    <w:p w14:paraId="211A77F6">
      <w:pPr>
        <w:numPr>
          <w:ilvl w:val="0"/>
          <w:numId w:val="1"/>
        </w:num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关于印发《大连市船舶与海工装备产业高质量发展支持政策》的通知；</w:t>
      </w:r>
    </w:p>
    <w:p w14:paraId="14FE972C">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（八）金普新区管委会关于印发《金普新区支持重点产业领域发展人才政策（试行）》的通知。</w:t>
      </w:r>
    </w:p>
    <w:p w14:paraId="31D0DD3B">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三、主要内容</w:t>
      </w:r>
    </w:p>
    <w:p w14:paraId="1C9E333D">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该</w:t>
      </w:r>
      <w:r>
        <w:rPr>
          <w:rFonts w:hint="eastAsia" w:ascii="Times New Roman" w:hAnsi="Times New Roman" w:eastAsia="仿宋_GB2312" w:cs="Times New Roman"/>
          <w:sz w:val="32"/>
          <w:szCs w:val="32"/>
          <w:lang w:eastAsia="zh-CN"/>
        </w:rPr>
        <w:t>方案</w:t>
      </w:r>
      <w:r>
        <w:rPr>
          <w:rFonts w:hint="eastAsia" w:ascii="Times New Roman" w:hAnsi="Times New Roman" w:eastAsia="仿宋_GB2312" w:cs="Times New Roman"/>
          <w:sz w:val="32"/>
          <w:szCs w:val="32"/>
        </w:rPr>
        <w:t>共分为三个部分，具体内容如下：</w:t>
      </w:r>
    </w:p>
    <w:p w14:paraId="527D21A6">
      <w:p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（一）总则涉及方案的背景和目标。</w:t>
      </w:r>
    </w:p>
    <w:p w14:paraId="334218B2">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（二）奖励政策是方案的核心内容，包括以下具体支持举措：</w:t>
      </w:r>
    </w:p>
    <w:p w14:paraId="618B8EA3">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1.</w:t>
      </w:r>
      <w:r>
        <w:rPr>
          <w:rFonts w:hint="eastAsia" w:ascii="Times New Roman" w:hAnsi="Times New Roman" w:eastAsia="楷体_GB2312" w:cs="Times New Roman"/>
          <w:sz w:val="32"/>
          <w:szCs w:val="32"/>
          <w:lang w:val="en-US" w:eastAsia="zh-CN"/>
        </w:rPr>
        <w:t>鼓励</w:t>
      </w:r>
      <w:r>
        <w:rPr>
          <w:rFonts w:hint="default" w:ascii="Times New Roman" w:hAnsi="Times New Roman" w:eastAsia="楷体_GB2312" w:cs="Times New Roman"/>
          <w:sz w:val="32"/>
          <w:szCs w:val="32"/>
          <w:lang w:val="en-US" w:eastAsia="zh-CN"/>
        </w:rPr>
        <w:t>汽车</w:t>
      </w:r>
      <w:r>
        <w:rPr>
          <w:rFonts w:hint="eastAsia" w:ascii="Times New Roman" w:hAnsi="Times New Roman" w:eastAsia="楷体_GB2312" w:cs="Times New Roman"/>
          <w:sz w:val="32"/>
          <w:szCs w:val="32"/>
          <w:lang w:val="en-US" w:eastAsia="zh-CN"/>
        </w:rPr>
        <w:t>企业提升</w:t>
      </w:r>
      <w:r>
        <w:rPr>
          <w:rFonts w:hint="default" w:ascii="Times New Roman" w:hAnsi="Times New Roman" w:eastAsia="楷体_GB2312" w:cs="Times New Roman"/>
          <w:sz w:val="32"/>
          <w:szCs w:val="32"/>
          <w:lang w:val="en-US" w:eastAsia="zh-CN"/>
        </w:rPr>
        <w:t>研发水平。</w:t>
      </w:r>
      <w:r>
        <w:rPr>
          <w:rFonts w:hint="default" w:ascii="Times New Roman" w:hAnsi="Times New Roman" w:eastAsia="仿宋_GB2312" w:cs="Times New Roman"/>
          <w:sz w:val="32"/>
          <w:szCs w:val="32"/>
          <w:lang w:val="en-US" w:eastAsia="zh-CN"/>
        </w:rPr>
        <w:t>对新认定的国家级“制造业单项冠军”企业、国家级专精特新“小巨人”企业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新备案的独角兽企业、潜在独角兽企业、种子独角兽企业、瞪羚企业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以及在汽车操作系统、自动驾驶等方面获得市级以上科技重大专项支持的企业给予一定奖励。</w:t>
      </w:r>
    </w:p>
    <w:p w14:paraId="1107CFA9">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2.</w:t>
      </w:r>
      <w:r>
        <w:rPr>
          <w:rFonts w:hint="eastAsia" w:ascii="Times New Roman" w:hAnsi="Times New Roman" w:eastAsia="楷体_GB2312" w:cs="Times New Roman"/>
          <w:sz w:val="32"/>
          <w:szCs w:val="32"/>
          <w:lang w:val="en-US" w:eastAsia="zh-CN"/>
        </w:rPr>
        <w:t>鼓励汽车产业项目新增固定资产投资。</w:t>
      </w:r>
      <w:r>
        <w:rPr>
          <w:rFonts w:hint="default" w:ascii="Times New Roman" w:hAnsi="Times New Roman" w:eastAsia="仿宋_GB2312" w:cs="Times New Roman"/>
          <w:sz w:val="32"/>
          <w:szCs w:val="32"/>
          <w:lang w:val="en-US" w:eastAsia="zh-CN"/>
        </w:rPr>
        <w:t>对新增固定资产</w:t>
      </w:r>
      <w:r>
        <w:rPr>
          <w:rFonts w:hint="eastAsia" w:ascii="Times New Roman" w:hAnsi="Times New Roman" w:eastAsia="仿宋_GB2312" w:cs="Times New Roman"/>
          <w:sz w:val="32"/>
          <w:szCs w:val="32"/>
          <w:lang w:val="en-US" w:eastAsia="zh-CN"/>
        </w:rPr>
        <w:t>总</w:t>
      </w:r>
      <w:r>
        <w:rPr>
          <w:rFonts w:hint="default" w:ascii="Times New Roman" w:hAnsi="Times New Roman" w:eastAsia="仿宋_GB2312" w:cs="Times New Roman"/>
          <w:sz w:val="32"/>
          <w:szCs w:val="32"/>
          <w:lang w:val="en-US" w:eastAsia="zh-CN"/>
        </w:rPr>
        <w:t>投资的汽车产业项目，</w:t>
      </w:r>
      <w:r>
        <w:rPr>
          <w:rFonts w:hint="eastAsia" w:ascii="Times New Roman" w:hAnsi="Times New Roman" w:eastAsia="仿宋_GB2312" w:cs="Times New Roman"/>
          <w:sz w:val="32"/>
          <w:szCs w:val="32"/>
          <w:lang w:val="en-US" w:eastAsia="zh-CN"/>
        </w:rPr>
        <w:t>建成投产后按照不超过新增固定资产投资额的一定</w:t>
      </w:r>
      <w:r>
        <w:rPr>
          <w:rFonts w:hint="default" w:ascii="Times New Roman" w:hAnsi="Times New Roman" w:eastAsia="仿宋_GB2312" w:cs="Times New Roman"/>
          <w:sz w:val="32"/>
          <w:szCs w:val="32"/>
          <w:lang w:val="en-US" w:eastAsia="zh-CN"/>
        </w:rPr>
        <w:t>比例给予</w:t>
      </w:r>
      <w:r>
        <w:rPr>
          <w:rFonts w:hint="eastAsia" w:ascii="Times New Roman" w:hAnsi="Times New Roman" w:eastAsia="仿宋_GB2312" w:cs="Times New Roman"/>
          <w:sz w:val="32"/>
          <w:szCs w:val="32"/>
          <w:lang w:val="en-US" w:eastAsia="zh-CN"/>
        </w:rPr>
        <w:t>奖励</w:t>
      </w:r>
      <w:r>
        <w:rPr>
          <w:rFonts w:hint="default" w:ascii="Times New Roman" w:hAnsi="Times New Roman" w:eastAsia="仿宋_GB2312" w:cs="Times New Roman"/>
          <w:sz w:val="32"/>
          <w:szCs w:val="32"/>
          <w:lang w:val="en-US" w:eastAsia="zh-CN"/>
        </w:rPr>
        <w:t>。</w:t>
      </w:r>
    </w:p>
    <w:p w14:paraId="4AC0149C">
      <w:pPr>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3.</w:t>
      </w:r>
      <w:r>
        <w:rPr>
          <w:rFonts w:hint="eastAsia" w:ascii="Times New Roman" w:hAnsi="Times New Roman" w:eastAsia="楷体_GB2312" w:cs="Times New Roman"/>
          <w:sz w:val="32"/>
          <w:szCs w:val="32"/>
          <w:highlight w:val="none"/>
          <w:lang w:val="en-US" w:eastAsia="zh-CN"/>
        </w:rPr>
        <w:t>鼓励汽车整车制造企业提质升级。</w:t>
      </w:r>
      <w:r>
        <w:rPr>
          <w:rFonts w:hint="eastAsia" w:ascii="Times New Roman" w:hAnsi="Times New Roman" w:eastAsia="仿宋_GB2312" w:cs="Times New Roman"/>
          <w:sz w:val="32"/>
          <w:szCs w:val="32"/>
          <w:highlight w:val="none"/>
          <w:lang w:val="en-US" w:eastAsia="zh-CN"/>
        </w:rPr>
        <w:t>对于整车制造企业新引入的乘用车车型，按不同品类给予每个车型不超过一定额度的奖励。</w:t>
      </w:r>
    </w:p>
    <w:p w14:paraId="4F3539DA">
      <w:pPr>
        <w:spacing w:line="560"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4.</w:t>
      </w:r>
      <w:r>
        <w:rPr>
          <w:rFonts w:hint="eastAsia" w:ascii="Times New Roman" w:hAnsi="Times New Roman" w:eastAsia="楷体_GB2312" w:cs="Times New Roman"/>
          <w:sz w:val="32"/>
          <w:szCs w:val="32"/>
          <w:lang w:val="en-US" w:eastAsia="zh-CN"/>
        </w:rPr>
        <w:t>培育一批汽车产业链中小企业特色产业集群。</w:t>
      </w:r>
      <w:r>
        <w:rPr>
          <w:rFonts w:hint="eastAsia" w:ascii="Times New Roman" w:hAnsi="Times New Roman" w:eastAsia="仿宋_GB2312" w:cs="Times New Roman"/>
          <w:sz w:val="32"/>
          <w:szCs w:val="32"/>
          <w:lang w:val="en-US" w:eastAsia="zh-CN"/>
        </w:rPr>
        <w:t>对通过搭建并运营汽车零部件产业园等方式培育汽车产业链中小企业特色产业集群的企业，给予运营公司不超过一定额度的奖励。</w:t>
      </w:r>
    </w:p>
    <w:p w14:paraId="1B653564">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鼓励整车企业稳妥有序开展海外布局。</w:t>
      </w:r>
      <w:r>
        <w:rPr>
          <w:rFonts w:hint="default" w:ascii="Times New Roman" w:hAnsi="Times New Roman" w:eastAsia="仿宋_GB2312" w:cs="Times New Roman"/>
          <w:sz w:val="32"/>
          <w:szCs w:val="32"/>
          <w:lang w:val="en-US" w:eastAsia="zh-CN"/>
        </w:rPr>
        <w:t>支持企业利用</w:t>
      </w:r>
      <w:r>
        <w:rPr>
          <w:rFonts w:hint="eastAsia" w:ascii="Times New Roman" w:hAnsi="Times New Roman" w:eastAsia="仿宋_GB2312" w:cs="Times New Roman"/>
          <w:sz w:val="32"/>
          <w:szCs w:val="32"/>
          <w:lang w:val="en-US" w:eastAsia="zh-CN"/>
        </w:rPr>
        <w:t>保税物流中心功能开展进出口业务，支持企业在保税物流中心内搭建汽车进出口综合服务平台，分别给予不超过一定额度的奖励。</w:t>
      </w:r>
    </w:p>
    <w:p w14:paraId="052D8E49">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w:t>
      </w:r>
      <w:r>
        <w:rPr>
          <w:rFonts w:hint="eastAsia" w:ascii="Times New Roman" w:hAnsi="Times New Roman" w:eastAsia="楷体_GB2312" w:cs="Times New Roman"/>
          <w:sz w:val="32"/>
          <w:szCs w:val="32"/>
          <w:lang w:val="en-US" w:eastAsia="zh-CN"/>
        </w:rPr>
        <w:t>鼓励汽车企业</w:t>
      </w:r>
      <w:r>
        <w:rPr>
          <w:rFonts w:hint="default" w:ascii="Times New Roman" w:hAnsi="Times New Roman" w:eastAsia="楷体_GB2312" w:cs="Times New Roman"/>
          <w:sz w:val="32"/>
          <w:szCs w:val="32"/>
          <w:lang w:val="en-US" w:eastAsia="zh-CN"/>
        </w:rPr>
        <w:t>盘活利用闲置资源。</w:t>
      </w:r>
      <w:r>
        <w:rPr>
          <w:rFonts w:hint="default" w:ascii="Times New Roman" w:hAnsi="Times New Roman" w:eastAsia="仿宋_GB2312" w:cs="Times New Roman"/>
          <w:sz w:val="32"/>
          <w:szCs w:val="32"/>
          <w:lang w:val="en-US" w:eastAsia="zh-CN"/>
        </w:rPr>
        <w:t>鼓励企业通过租赁、购买或以兼并重组方式盘活</w:t>
      </w:r>
      <w:r>
        <w:rPr>
          <w:rFonts w:hint="eastAsia" w:ascii="Times New Roman" w:hAnsi="Times New Roman" w:eastAsia="仿宋_GB2312" w:cs="Times New Roman"/>
          <w:sz w:val="32"/>
          <w:szCs w:val="32"/>
          <w:lang w:val="en-US" w:eastAsia="zh-CN"/>
        </w:rPr>
        <w:t>新区内</w:t>
      </w:r>
      <w:r>
        <w:rPr>
          <w:rFonts w:hint="default" w:ascii="Times New Roman" w:hAnsi="Times New Roman" w:eastAsia="仿宋_GB2312" w:cs="Times New Roman"/>
          <w:sz w:val="32"/>
          <w:szCs w:val="32"/>
          <w:lang w:val="en-US" w:eastAsia="zh-CN"/>
        </w:rPr>
        <w:t>闲置厂房，给予租金、竞买资产或股权投资奖励。</w:t>
      </w:r>
    </w:p>
    <w:p w14:paraId="52AF1D38">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lang w:val="en-US" w:eastAsia="zh-CN"/>
        </w:rPr>
        <w:t>.培育新能源汽车废旧动力电池回收利用产业。</w:t>
      </w:r>
      <w:r>
        <w:rPr>
          <w:rFonts w:hint="eastAsia" w:ascii="仿宋_GB2312" w:hAnsi="仿宋_GB2312" w:eastAsia="仿宋_GB2312" w:cs="仿宋_GB2312"/>
          <w:sz w:val="32"/>
          <w:szCs w:val="32"/>
          <w:lang w:val="en-US" w:eastAsia="zh-CN"/>
        </w:rPr>
        <w:t>对</w:t>
      </w:r>
      <w:r>
        <w:rPr>
          <w:rFonts w:hint="default" w:ascii="Times New Roman" w:hAnsi="Times New Roman" w:eastAsia="仿宋_GB2312" w:cs="Times New Roman"/>
          <w:sz w:val="32"/>
          <w:szCs w:val="32"/>
          <w:lang w:val="en-US" w:eastAsia="zh-CN"/>
        </w:rPr>
        <w:t>具备一定废旧汽车动力电池处理能力的企业给予一次性奖励，对纳入工信部汽车动力电池“白名单”的企业给予额外奖励。</w:t>
      </w:r>
    </w:p>
    <w:p w14:paraId="108F5E0C">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lang w:val="en-US" w:eastAsia="zh-CN"/>
        </w:rPr>
        <w:t>.加大投融资支持力度。</w:t>
      </w:r>
      <w:r>
        <w:rPr>
          <w:rFonts w:hint="default" w:ascii="Times New Roman" w:hAnsi="Times New Roman" w:eastAsia="仿宋_GB2312" w:cs="Times New Roman"/>
          <w:sz w:val="32"/>
          <w:szCs w:val="32"/>
          <w:lang w:val="en-US" w:eastAsia="zh-CN"/>
        </w:rPr>
        <w:t>积极推动国企平台、产业基金按照市场化原则，对具有带动和示范作用的汽车及零部件制造投资类项目给予股权投资、金融租赁、厂房建设融资等方面支持。</w:t>
      </w:r>
    </w:p>
    <w:p w14:paraId="459DBE17">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sz w:val="32"/>
          <w:szCs w:val="32"/>
          <w:lang w:val="en-US" w:eastAsia="zh-CN"/>
        </w:rPr>
        <w:t>9</w:t>
      </w:r>
      <w:r>
        <w:rPr>
          <w:rFonts w:hint="default" w:ascii="Times New Roman" w:hAnsi="Times New Roman" w:eastAsia="楷体_GB2312" w:cs="Times New Roman"/>
          <w:sz w:val="32"/>
          <w:szCs w:val="32"/>
          <w:lang w:val="en-US" w:eastAsia="zh-CN"/>
        </w:rPr>
        <w:t>.加强人才引培留用。</w:t>
      </w:r>
      <w:r>
        <w:rPr>
          <w:rFonts w:hint="default" w:ascii="Times New Roman" w:hAnsi="Times New Roman" w:eastAsia="仿宋_GB2312" w:cs="Times New Roman"/>
          <w:sz w:val="32"/>
          <w:szCs w:val="32"/>
          <w:lang w:val="en-US" w:eastAsia="zh-CN"/>
        </w:rPr>
        <w:t>对符合条件的汽车及零部件产业人才提供交通、医疗、住房等保障服务。</w:t>
      </w:r>
    </w:p>
    <w:p w14:paraId="55E6E0DB">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1</w:t>
      </w:r>
      <w:r>
        <w:rPr>
          <w:rFonts w:hint="eastAsia" w:ascii="Times New Roman" w:hAnsi="Times New Roman" w:eastAsia="楷体_GB2312" w:cs="Times New Roman"/>
          <w:sz w:val="32"/>
          <w:szCs w:val="32"/>
          <w:lang w:val="en-US" w:eastAsia="zh-CN"/>
        </w:rPr>
        <w:t>0</w:t>
      </w:r>
      <w:r>
        <w:rPr>
          <w:rFonts w:hint="default" w:ascii="Times New Roman" w:hAnsi="Times New Roman" w:eastAsia="楷体_GB2312" w:cs="Times New Roman"/>
          <w:sz w:val="32"/>
          <w:szCs w:val="32"/>
          <w:lang w:val="en-US" w:eastAsia="zh-CN"/>
        </w:rPr>
        <w:t>.免费提供周转用人才公寓。</w:t>
      </w:r>
      <w:r>
        <w:rPr>
          <w:rFonts w:hint="eastAsia" w:ascii="仿宋_GB2312" w:hAnsi="仿宋_GB2312" w:eastAsia="仿宋_GB2312" w:cs="仿宋_GB2312"/>
          <w:sz w:val="32"/>
          <w:szCs w:val="32"/>
          <w:lang w:val="en-US" w:eastAsia="zh-CN"/>
        </w:rPr>
        <w:t>根据</w:t>
      </w:r>
      <w:r>
        <w:rPr>
          <w:rFonts w:hint="default" w:ascii="Times New Roman" w:hAnsi="Times New Roman" w:eastAsia="仿宋_GB2312" w:cs="Times New Roman"/>
          <w:sz w:val="32"/>
          <w:szCs w:val="32"/>
          <w:lang w:val="en-US" w:eastAsia="zh-CN"/>
        </w:rPr>
        <w:t>汽车及零部件制造企业投资项目需求，免费提供一定数量的周转用人才公寓。</w:t>
      </w:r>
    </w:p>
    <w:p w14:paraId="3A480BE5">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楷体_GB2312" w:cs="Times New Roman"/>
          <w:sz w:val="32"/>
          <w:szCs w:val="32"/>
          <w:lang w:val="en-US" w:eastAsia="zh-CN"/>
        </w:rPr>
        <w:t>降低企业用地成本。</w:t>
      </w:r>
      <w:r>
        <w:rPr>
          <w:rFonts w:hint="default" w:ascii="Times New Roman" w:hAnsi="Times New Roman" w:eastAsia="仿宋_GB2312" w:cs="Times New Roman"/>
          <w:sz w:val="32"/>
          <w:szCs w:val="32"/>
          <w:lang w:val="en-US" w:eastAsia="zh-CN"/>
        </w:rPr>
        <w:t>可按照“弹性出让”“先租后让”等方式予以供地；推行“标准地”供地，探索实施包容性激励约束机制，支持企业“摘牌即开工、竣工即验收、验收即办证”。</w:t>
      </w:r>
    </w:p>
    <w:p w14:paraId="4D52E8EC">
      <w:pPr>
        <w:numPr>
          <w:ilvl w:val="0"/>
          <w:numId w:val="0"/>
        </w:numPr>
        <w:spacing w:line="560" w:lineRule="exact"/>
        <w:ind w:left="0" w:leftChars="0" w:firstLine="640" w:firstLineChars="200"/>
        <w:rPr>
          <w:rFonts w:hint="eastAsia" w:ascii="黑体" w:hAnsi="黑体" w:eastAsia="黑体" w:cs="Times New Roman"/>
          <w:sz w:val="32"/>
          <w:szCs w:val="32"/>
          <w:lang w:val="en-US" w:eastAsia="zh-CN"/>
        </w:rPr>
      </w:pPr>
      <w:r>
        <w:rPr>
          <w:rFonts w:hint="eastAsia" w:ascii="Times New Roman" w:hAnsi="Times New Roman" w:eastAsia="仿宋_GB2312" w:cs="Times New Roman"/>
          <w:sz w:val="32"/>
          <w:szCs w:val="32"/>
          <w:lang w:val="en-US" w:eastAsia="zh-CN"/>
        </w:rPr>
        <w:t>（三）附则，涉及方案的执行标准、生效日期及有效期。</w:t>
      </w:r>
    </w:p>
    <w:p w14:paraId="7A7B01AB">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2025年11月8</w:t>
      </w:r>
      <w:bookmarkStart w:id="0" w:name="_GoBack"/>
      <w:bookmarkEnd w:id="0"/>
      <w:r>
        <w:rPr>
          <w:rFonts w:hint="eastAsia" w:ascii="Times New Roman" w:hAnsi="Times New Roman" w:eastAsia="仿宋_GB2312" w:cs="Times New Roman"/>
          <w:sz w:val="32"/>
          <w:szCs w:val="32"/>
          <w:lang w:val="en-US" w:eastAsia="zh-CN"/>
        </w:rPr>
        <w:t xml:space="preserve">日                                             </w:t>
      </w:r>
    </w:p>
    <w:sectPr>
      <w:footerReference r:id="rId3" w:type="default"/>
      <w:pgSz w:w="11906" w:h="16838"/>
      <w:pgMar w:top="1701"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0482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96F73">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496F7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8483CB"/>
    <w:multiLevelType w:val="singleLevel"/>
    <w:tmpl w:val="438483C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8E"/>
    <w:rsid w:val="001708AA"/>
    <w:rsid w:val="00264A7C"/>
    <w:rsid w:val="00311BEC"/>
    <w:rsid w:val="00314CD6"/>
    <w:rsid w:val="003E29EE"/>
    <w:rsid w:val="0048658E"/>
    <w:rsid w:val="006769D5"/>
    <w:rsid w:val="00754C53"/>
    <w:rsid w:val="007B5B2B"/>
    <w:rsid w:val="00951378"/>
    <w:rsid w:val="009E6131"/>
    <w:rsid w:val="00A10887"/>
    <w:rsid w:val="00B22111"/>
    <w:rsid w:val="00C25EF6"/>
    <w:rsid w:val="00CA4370"/>
    <w:rsid w:val="00D44CE4"/>
    <w:rsid w:val="00DB0A8D"/>
    <w:rsid w:val="00DC1549"/>
    <w:rsid w:val="00E811D1"/>
    <w:rsid w:val="00F15787"/>
    <w:rsid w:val="00F83CFC"/>
    <w:rsid w:val="00F91728"/>
    <w:rsid w:val="02B9428D"/>
    <w:rsid w:val="04A3435A"/>
    <w:rsid w:val="0ADD66ED"/>
    <w:rsid w:val="12825989"/>
    <w:rsid w:val="28E23A30"/>
    <w:rsid w:val="29932CBF"/>
    <w:rsid w:val="2C856BD2"/>
    <w:rsid w:val="347831DE"/>
    <w:rsid w:val="36595ADE"/>
    <w:rsid w:val="377526AD"/>
    <w:rsid w:val="3C08387C"/>
    <w:rsid w:val="4F473A81"/>
    <w:rsid w:val="5291503D"/>
    <w:rsid w:val="537D72B8"/>
    <w:rsid w:val="5BA2012F"/>
    <w:rsid w:val="5E0B6428"/>
    <w:rsid w:val="7DEA5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1667</Words>
  <Characters>1696</Characters>
  <Lines>29</Lines>
  <Paragraphs>20</Paragraphs>
  <TotalTime>4</TotalTime>
  <ScaleCrop>false</ScaleCrop>
  <LinksUpToDate>false</LinksUpToDate>
  <CharactersWithSpaces>1749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2025-07-07T03:34:00Z</dcterms:created>
  <dc:creator>Wenjin Zhang</dc:creator>
  <cp:lastModifiedBy>Lenovo</cp:lastModifiedBy>
  <cp:lastPrinted>2025-07-29T07:56:00Z</cp:lastPrinted>
  <dcterms:modified xsi:type="dcterms:W3CDTF">2025-12-10T07:49:11Z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eyJoZGlkIjoiNDExZTM0YjBjZTVlNGVjMjAwZTY1ODk4NWY5ZjUwZWYiLCJ1c2VySWQiOiIzNzg2NTA2ODYifQ==</vt:lpwstr>
  </property>
  <property fmtid="{D5CDD505-2E9C-101B-9397-08002B2CF9AE}" pid="3" name="KSOProductBuildVer">
    <vt:lpwstr>2052-12.1.0.24034</vt:lpwstr>
  </property>
  <property fmtid="{D5CDD505-2E9C-101B-9397-08002B2CF9AE}" pid="4" name="ICV">
    <vt:lpwstr>6A6D3CB6D4DA4573861F3840D30A6079_12</vt:lpwstr>
  </property>
</Properties>
</file>