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B9E9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  <w:lang w:eastAsia="ja-JP"/>
        </w:rPr>
        <w:t>金普新区促进汽车</w:t>
      </w:r>
      <w:r>
        <w:rPr>
          <w:rFonts w:ascii="Times New Roman" w:hAnsi="Times New Roman" w:eastAsia="方正小标宋简体" w:cs="Times New Roman"/>
          <w:sz w:val="44"/>
          <w:szCs w:val="44"/>
        </w:rPr>
        <w:t>及零部件产业</w:t>
      </w:r>
    </w:p>
    <w:p w14:paraId="71EDAE70">
      <w:pPr>
        <w:spacing w:line="560" w:lineRule="exact"/>
        <w:jc w:val="center"/>
        <w:rPr>
          <w:rFonts w:ascii="Times New Roman" w:hAnsi="Times New Roman" w:eastAsia="楷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44"/>
          <w:lang w:eastAsia="ja-JP"/>
        </w:rPr>
        <w:t>高质量发展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工作方案</w:t>
      </w:r>
      <w:r>
        <w:rPr>
          <w:rFonts w:ascii="Times New Roman" w:hAnsi="Times New Roman" w:eastAsia="方正小标宋简体" w:cs="Times New Roman"/>
          <w:sz w:val="44"/>
          <w:szCs w:val="44"/>
        </w:rPr>
        <w:t>（试行）</w:t>
      </w:r>
    </w:p>
    <w:p w14:paraId="2787EBFE">
      <w:pPr>
        <w:spacing w:line="560" w:lineRule="exact"/>
        <w:ind w:firstLine="3258" w:firstLineChars="905"/>
        <w:rPr>
          <w:rFonts w:hint="eastAsia" w:ascii="Times New Roman" w:hAnsi="Times New Roman" w:eastAsia="仿宋_GB2312" w:cs="Times New Roman"/>
          <w:b w:val="0"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z w:val="36"/>
          <w:szCs w:val="36"/>
          <w:lang w:val="en-US" w:eastAsia="zh-CN"/>
        </w:rPr>
        <w:t>草稿</w:t>
      </w:r>
      <w:r>
        <w:rPr>
          <w:rFonts w:hint="eastAsia" w:ascii="Times New Roman" w:hAnsi="Times New Roman" w:eastAsia="仿宋_GB2312" w:cs="Times New Roman"/>
          <w:b w:val="0"/>
          <w:bCs/>
          <w:sz w:val="36"/>
          <w:szCs w:val="36"/>
          <w:lang w:eastAsia="zh-CN"/>
        </w:rPr>
        <w:t>）</w:t>
      </w:r>
    </w:p>
    <w:p w14:paraId="5329A5E2"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  <w:lang w:eastAsia="ja-JP"/>
        </w:rPr>
      </w:pPr>
    </w:p>
    <w:p w14:paraId="2A62DDAB"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  <w:lang w:eastAsia="ja-JP"/>
        </w:rPr>
        <w:t>第一章</w:t>
      </w:r>
      <w:r>
        <w:rPr>
          <w:rFonts w:ascii="Times New Roman" w:hAnsi="Times New Roman" w:eastAsia="黑体" w:cs="Times New Roman"/>
          <w:sz w:val="36"/>
          <w:szCs w:val="36"/>
        </w:rPr>
        <w:t xml:space="preserve">  </w:t>
      </w:r>
      <w:r>
        <w:rPr>
          <w:rFonts w:ascii="Times New Roman" w:hAnsi="Times New Roman" w:eastAsia="黑体" w:cs="Times New Roman"/>
          <w:sz w:val="36"/>
          <w:szCs w:val="36"/>
          <w:lang w:eastAsia="ja-JP"/>
        </w:rPr>
        <w:t>总则</w:t>
      </w:r>
    </w:p>
    <w:p w14:paraId="09F8C842">
      <w:pPr>
        <w:spacing w:line="560" w:lineRule="exact"/>
        <w:ind w:firstLine="720" w:firstLineChars="200"/>
        <w:rPr>
          <w:rFonts w:ascii="Times New Roman" w:hAnsi="Times New Roman" w:eastAsia="黑体" w:cs="Times New Roman"/>
          <w:sz w:val="36"/>
          <w:szCs w:val="36"/>
          <w:lang w:eastAsia="ja-JP"/>
        </w:rPr>
      </w:pPr>
      <w:r>
        <w:rPr>
          <w:rFonts w:ascii="Times New Roman" w:hAnsi="Times New Roman" w:eastAsia="黑体" w:cs="Times New Roman"/>
          <w:sz w:val="36"/>
          <w:szCs w:val="36"/>
          <w:lang w:eastAsia="ja-JP"/>
        </w:rPr>
        <w:t>第一条</w:t>
      </w:r>
      <w:r>
        <w:rPr>
          <w:rFonts w:ascii="Times New Roman" w:hAnsi="Times New Roman" w:eastAsia="黑体" w:cs="Times New Roman"/>
          <w:sz w:val="36"/>
          <w:szCs w:val="36"/>
        </w:rPr>
        <w:t xml:space="preserve"> 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ja-JP"/>
        </w:rPr>
        <w:t>为深入贯彻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习近平总书记在辽宁考察时的重要讲话精神，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落实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ja-JP"/>
        </w:rPr>
        <w:t>工业和信息化部等八部门印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6"/>
          <w:szCs w:val="36"/>
          <w:lang w:eastAsia="ja-JP"/>
        </w:rPr>
        <w:t>发的《汽车行业稳增长工作方案（2025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ja-JP"/>
        </w:rPr>
        <w:t>2026年）》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ja-JP"/>
        </w:rPr>
        <w:t>辽宁省人民政府印发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ja-JP"/>
        </w:rPr>
        <w:t>辽宁省经济社会若干领域稳增长惠民生政策举措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》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ja-JP"/>
        </w:rPr>
        <w:t>（辽政发〔2025〕1号）要求，为促进金普新区汽车产业高质量发展，加快</w:t>
      </w:r>
      <w:r>
        <w:rPr>
          <w:rFonts w:hint="eastAsia" w:ascii="Times New Roman" w:hAnsi="Times New Roman" w:eastAsia="仿宋_GB2312"/>
          <w:sz w:val="36"/>
          <w:szCs w:val="36"/>
          <w:lang w:eastAsia="ja-JP"/>
        </w:rPr>
        <w:t>向新能源和智能网联汽车转型升级，结合金普新区发展实际，制定本</w:t>
      </w:r>
      <w:r>
        <w:rPr>
          <w:rFonts w:hint="eastAsia" w:ascii="Times New Roman" w:hAnsi="Times New Roman" w:eastAsia="仿宋_GB2312"/>
          <w:sz w:val="36"/>
          <w:szCs w:val="36"/>
        </w:rPr>
        <w:t>方案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ja-JP"/>
        </w:rPr>
        <w:t>。</w:t>
      </w:r>
    </w:p>
    <w:p w14:paraId="3CADEFE5"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  <w:lang w:eastAsia="ja-JP"/>
        </w:rPr>
      </w:pPr>
      <w:r>
        <w:rPr>
          <w:rFonts w:ascii="Times New Roman" w:hAnsi="Times New Roman" w:eastAsia="黑体" w:cs="Times New Roman"/>
          <w:sz w:val="36"/>
          <w:szCs w:val="36"/>
          <w:lang w:eastAsia="ja-JP"/>
        </w:rPr>
        <w:t>第二章</w:t>
      </w:r>
      <w:r>
        <w:rPr>
          <w:rFonts w:ascii="Times New Roman" w:hAnsi="Times New Roman" w:eastAsia="黑体" w:cs="Times New Roman"/>
          <w:sz w:val="36"/>
          <w:szCs w:val="36"/>
        </w:rPr>
        <w:t xml:space="preserve">  </w:t>
      </w:r>
      <w:r>
        <w:rPr>
          <w:rFonts w:hint="eastAsia" w:ascii="Times New Roman" w:hAnsi="Times New Roman" w:eastAsia="黑体" w:cs="Times New Roman"/>
          <w:sz w:val="36"/>
          <w:szCs w:val="36"/>
        </w:rPr>
        <w:t>奖励</w:t>
      </w:r>
      <w:r>
        <w:rPr>
          <w:rFonts w:ascii="Times New Roman" w:hAnsi="Times New Roman" w:eastAsia="黑体" w:cs="Times New Roman"/>
          <w:sz w:val="36"/>
          <w:szCs w:val="36"/>
          <w:lang w:eastAsia="ja-JP"/>
        </w:rPr>
        <w:t>政策</w:t>
      </w:r>
    </w:p>
    <w:p w14:paraId="13338192">
      <w:pPr>
        <w:spacing w:line="560" w:lineRule="exact"/>
        <w:ind w:firstLine="720" w:firstLineChars="200"/>
        <w:rPr>
          <w:rFonts w:ascii="Times New Roman" w:hAnsi="Times New Roman" w:eastAsia="仿宋_GB2312" w:cs="Times New Roman"/>
          <w:color w:val="FF0000"/>
          <w:sz w:val="36"/>
          <w:szCs w:val="22"/>
        </w:rPr>
      </w:pPr>
      <w:r>
        <w:rPr>
          <w:rFonts w:ascii="Times New Roman" w:hAnsi="Times New Roman" w:eastAsia="黑体" w:cs="Times New Roman"/>
          <w:sz w:val="36"/>
          <w:szCs w:val="36"/>
        </w:rPr>
        <w:t>第</w:t>
      </w:r>
      <w:r>
        <w:rPr>
          <w:rFonts w:hint="eastAsia" w:ascii="Times New Roman" w:hAnsi="Times New Roman" w:eastAsia="黑体" w:cs="Times New Roman"/>
          <w:sz w:val="36"/>
          <w:szCs w:val="36"/>
        </w:rPr>
        <w:t>二</w:t>
      </w:r>
      <w:r>
        <w:rPr>
          <w:rFonts w:ascii="Times New Roman" w:hAnsi="Times New Roman" w:eastAsia="黑体" w:cs="Times New Roman"/>
          <w:sz w:val="36"/>
          <w:szCs w:val="36"/>
        </w:rPr>
        <w:t xml:space="preserve">条 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鼓励汽车企业提升研发水平。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ja-JP"/>
        </w:rPr>
        <w:t>对新认定的国家级“制造业单项冠军”企业、国家级专精特新“小巨人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”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ja-JP"/>
        </w:rPr>
        <w:t>企业，分别给予100万元、50万元奖励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；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ja-JP"/>
        </w:rPr>
        <w:t>对新备案的独角兽企业给予200万元奖励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；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ja-JP"/>
        </w:rPr>
        <w:t>对新备案的潜在独角兽企业、种子独角兽企业、瞪羚企业分别给予20万元奖励。对汽车操作系统、自动驾驶等方面，获得市级以上科技重大专项支持的，按照上级部门补贴额的20%给予奖励，单个项目奖励不超过1000万元。</w:t>
      </w:r>
    </w:p>
    <w:p w14:paraId="5003ADF0">
      <w:pPr>
        <w:spacing w:line="560" w:lineRule="exact"/>
        <w:ind w:firstLine="720" w:firstLineChars="200"/>
        <w:rPr>
          <w:rFonts w:hint="eastAsia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ascii="Times New Roman" w:hAnsi="Times New Roman" w:eastAsia="黑体" w:cs="Times New Roman"/>
          <w:color w:val="auto"/>
          <w:sz w:val="36"/>
          <w:szCs w:val="36"/>
        </w:rPr>
        <w:t>第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</w:rPr>
        <w:t>三</w:t>
      </w:r>
      <w:r>
        <w:rPr>
          <w:rFonts w:ascii="Times New Roman" w:hAnsi="Times New Roman" w:eastAsia="黑体" w:cs="Times New Roman"/>
          <w:color w:val="auto"/>
          <w:sz w:val="36"/>
          <w:szCs w:val="36"/>
        </w:rPr>
        <w:t xml:space="preserve">条 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</w:rPr>
        <w:t>鼓励汽车产业项目新增固定资产投资。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</w:rPr>
        <w:t>对新增</w:t>
      </w:r>
      <w:r>
        <w:rPr>
          <w:rFonts w:ascii="Times New Roman" w:hAnsi="Times New Roman" w:eastAsia="仿宋_GB2312" w:cs="Times New Roman"/>
          <w:color w:val="auto"/>
          <w:sz w:val="36"/>
          <w:szCs w:val="36"/>
        </w:rPr>
        <w:t>固定资产投资的汽车产业项目，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</w:rPr>
        <w:t>在项目</w:t>
      </w:r>
      <w:r>
        <w:rPr>
          <w:rFonts w:ascii="Times New Roman" w:hAnsi="Times New Roman" w:eastAsia="仿宋_GB2312" w:cs="Times New Roman"/>
          <w:color w:val="auto"/>
          <w:sz w:val="36"/>
          <w:szCs w:val="36"/>
        </w:rPr>
        <w:t>建成投产后，按照不超过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</w:rPr>
        <w:t>新增固定资产投资额</w:t>
      </w:r>
      <w:r>
        <w:rPr>
          <w:rFonts w:ascii="Times New Roman" w:hAnsi="Times New Roman" w:eastAsia="仿宋_GB2312" w:cs="Times New Roman"/>
          <w:color w:val="auto"/>
          <w:sz w:val="36"/>
          <w:szCs w:val="36"/>
        </w:rPr>
        <w:t>10%的比例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</w:rPr>
        <w:t>给予奖励</w:t>
      </w:r>
      <w:r>
        <w:rPr>
          <w:rFonts w:ascii="Times New Roman" w:hAnsi="Times New Roman" w:eastAsia="仿宋_GB2312" w:cs="Times New Roman"/>
          <w:color w:val="auto"/>
          <w:sz w:val="36"/>
          <w:szCs w:val="36"/>
        </w:rPr>
        <w:t>，</w:t>
      </w:r>
      <w:r>
        <w:rPr>
          <w:rFonts w:ascii="Times New Roman" w:hAnsi="Times New Roman" w:eastAsia="仿宋_GB2312" w:cs="Times New Roman"/>
          <w:color w:val="auto"/>
          <w:sz w:val="36"/>
          <w:szCs w:val="36"/>
          <w:lang w:eastAsia="ja-JP"/>
        </w:rPr>
        <w:t>单个项目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</w:rPr>
        <w:t>奖励</w:t>
      </w:r>
      <w:r>
        <w:rPr>
          <w:rFonts w:ascii="Times New Roman" w:hAnsi="Times New Roman" w:eastAsia="仿宋_GB2312" w:cs="Times New Roman"/>
          <w:color w:val="auto"/>
          <w:sz w:val="36"/>
          <w:szCs w:val="36"/>
          <w:lang w:eastAsia="ja-JP"/>
        </w:rPr>
        <w:t>上限</w:t>
      </w:r>
      <w:r>
        <w:rPr>
          <w:rFonts w:ascii="Times New Roman" w:hAnsi="Times New Roman" w:eastAsia="仿宋_GB2312" w:cs="Times New Roman"/>
          <w:color w:val="auto"/>
          <w:sz w:val="36"/>
          <w:szCs w:val="36"/>
        </w:rPr>
        <w:t>5000</w:t>
      </w:r>
      <w:r>
        <w:rPr>
          <w:rFonts w:ascii="Times New Roman" w:hAnsi="Times New Roman" w:eastAsia="仿宋_GB2312" w:cs="Times New Roman"/>
          <w:color w:val="auto"/>
          <w:sz w:val="36"/>
          <w:szCs w:val="36"/>
          <w:lang w:eastAsia="ja-JP"/>
        </w:rPr>
        <w:t>万元。</w:t>
      </w:r>
    </w:p>
    <w:p w14:paraId="720237EA">
      <w:pPr>
        <w:numPr>
          <w:ilvl w:val="0"/>
          <w:numId w:val="0"/>
        </w:numPr>
        <w:spacing w:line="560" w:lineRule="exact"/>
        <w:ind w:firstLine="720" w:firstLineChars="200"/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ja-JP"/>
        </w:rPr>
      </w:pPr>
      <w:r>
        <w:rPr>
          <w:rFonts w:ascii="Times New Roman" w:hAnsi="Times New Roman" w:eastAsia="黑体" w:cs="Times New Roman"/>
          <w:color w:val="auto"/>
          <w:sz w:val="36"/>
          <w:szCs w:val="36"/>
        </w:rPr>
        <w:t>第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val="en-US" w:eastAsia="zh-CN"/>
        </w:rPr>
        <w:t>四</w:t>
      </w:r>
      <w:r>
        <w:rPr>
          <w:rFonts w:ascii="Times New Roman" w:hAnsi="Times New Roman" w:eastAsia="黑体" w:cs="Times New Roman"/>
          <w:color w:val="auto"/>
          <w:sz w:val="36"/>
          <w:szCs w:val="36"/>
        </w:rPr>
        <w:t>条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</w:rPr>
        <w:t>鼓励汽车整车制造企业提质升级。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ja-JP"/>
        </w:rPr>
        <w:t>对于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</w:rPr>
        <w:t>整车制造企业新引入的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ja-JP"/>
        </w:rPr>
        <w:t>乘用车车型，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</w:rPr>
        <w:t>在具备实施条件的前提下，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ja-JP"/>
        </w:rPr>
        <w:t>按不同品类给予每个车型不超过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</w:rPr>
        <w:t>10亿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ja-JP"/>
        </w:rPr>
        <w:t>元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ja-JP"/>
        </w:rPr>
        <w:t>奖励。</w:t>
      </w:r>
    </w:p>
    <w:p w14:paraId="6E04F673">
      <w:pPr>
        <w:spacing w:line="560" w:lineRule="exact"/>
        <w:ind w:firstLine="720" w:firstLineChars="200"/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color w:val="auto"/>
          <w:sz w:val="36"/>
          <w:szCs w:val="36"/>
        </w:rPr>
        <w:t>第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</w:rPr>
        <w:t>五</w:t>
      </w:r>
      <w:r>
        <w:rPr>
          <w:rFonts w:ascii="Times New Roman" w:hAnsi="Times New Roman" w:eastAsia="黑体" w:cs="Times New Roman"/>
          <w:color w:val="auto"/>
          <w:sz w:val="36"/>
          <w:szCs w:val="36"/>
        </w:rPr>
        <w:t xml:space="preserve">条 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</w:rPr>
        <w:t>培育一批汽车产业链中小企业特色产业集群。</w:t>
      </w:r>
      <w:r>
        <w:rPr>
          <w:rFonts w:hint="eastAsia" w:ascii="仿宋_GB2312" w:hAnsi="楷体_GB2312" w:eastAsia="仿宋_GB2312" w:cs="楷体_GB2312"/>
          <w:b w:val="0"/>
          <w:bCs/>
          <w:color w:val="auto"/>
          <w:sz w:val="36"/>
          <w:szCs w:val="36"/>
        </w:rPr>
        <w:t>鼓励企业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</w:rPr>
        <w:t>通过搭建并运营汽车零部件产业园等方式，培育汽车产业链中小企业特色产业集群，</w:t>
      </w:r>
      <w:r>
        <w:rPr>
          <w:rFonts w:ascii="Times New Roman" w:hAnsi="Times New Roman" w:eastAsia="仿宋_GB2312" w:cs="Times New Roman"/>
          <w:color w:val="auto"/>
          <w:sz w:val="36"/>
          <w:szCs w:val="36"/>
          <w:lang w:eastAsia="ja-JP"/>
        </w:rPr>
        <w:t>给予运营公司</w:t>
      </w:r>
      <w:r>
        <w:rPr>
          <w:rFonts w:ascii="Times New Roman" w:hAnsi="Times New Roman" w:eastAsia="仿宋_GB2312" w:cs="Times New Roman"/>
          <w:color w:val="auto"/>
          <w:sz w:val="36"/>
          <w:szCs w:val="36"/>
        </w:rPr>
        <w:t>上限不超过500万元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</w:rPr>
        <w:t>的奖励</w:t>
      </w:r>
      <w:r>
        <w:rPr>
          <w:rFonts w:ascii="Times New Roman" w:hAnsi="Times New Roman" w:eastAsia="仿宋_GB2312" w:cs="Times New Roman"/>
          <w:color w:val="auto"/>
          <w:sz w:val="36"/>
          <w:szCs w:val="36"/>
          <w:lang w:eastAsia="ja-JP"/>
        </w:rPr>
        <w:t>。</w:t>
      </w:r>
    </w:p>
    <w:p w14:paraId="170A2BEB">
      <w:pPr>
        <w:spacing w:line="560" w:lineRule="exact"/>
        <w:ind w:firstLine="720" w:firstLineChars="200"/>
        <w:rPr>
          <w:rFonts w:ascii="Times New Roman" w:hAnsi="Times New Roman" w:eastAsia="仿宋_GB2312" w:cs="Times New Roman"/>
          <w:color w:val="FF0000"/>
          <w:sz w:val="36"/>
          <w:szCs w:val="36"/>
          <w:highlight w:val="none"/>
        </w:rPr>
      </w:pPr>
      <w:r>
        <w:rPr>
          <w:rFonts w:ascii="Times New Roman" w:hAnsi="Times New Roman" w:eastAsia="黑体" w:cs="Times New Roman"/>
          <w:color w:val="auto"/>
          <w:sz w:val="36"/>
          <w:szCs w:val="36"/>
          <w:highlight w:val="none"/>
        </w:rPr>
        <w:t>第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highlight w:val="none"/>
        </w:rPr>
        <w:t>六</w:t>
      </w:r>
      <w:r>
        <w:rPr>
          <w:rFonts w:ascii="Times New Roman" w:hAnsi="Times New Roman" w:eastAsia="黑体" w:cs="Times New Roman"/>
          <w:color w:val="auto"/>
          <w:sz w:val="36"/>
          <w:szCs w:val="36"/>
          <w:highlight w:val="none"/>
        </w:rPr>
        <w:t>条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highlight w:val="none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highlight w:val="none"/>
        </w:rPr>
        <w:t>鼓励整车企业稳妥有序开展海外布局。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highlight w:val="none"/>
          <w:lang w:eastAsia="ja-JP"/>
        </w:rPr>
        <w:t>鼓励企业通过搭建保税物流中心，运营汽车外综服平台等方式，培育服务汽车企业通过整车出口、散件出口等方式开拓海外市场，给予运营公司上限不超过1500万元的奖励，给予单个汽车企业上限不超过3000万元的奖励。</w:t>
      </w:r>
    </w:p>
    <w:p w14:paraId="68274026">
      <w:pPr>
        <w:spacing w:line="56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第</w:t>
      </w:r>
      <w:r>
        <w:rPr>
          <w:rFonts w:hint="eastAsia" w:ascii="Times New Roman" w:hAnsi="Times New Roman" w:eastAsia="黑体" w:cs="Times New Roman"/>
          <w:sz w:val="36"/>
          <w:szCs w:val="36"/>
        </w:rPr>
        <w:t>七</w:t>
      </w:r>
      <w:r>
        <w:rPr>
          <w:rFonts w:ascii="Times New Roman" w:hAnsi="Times New Roman" w:eastAsia="黑体" w:cs="Times New Roman"/>
          <w:sz w:val="36"/>
          <w:szCs w:val="36"/>
        </w:rPr>
        <w:t xml:space="preserve">条 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鼓励汽车企业盘活利用闲置资源。</w:t>
      </w:r>
      <w:r>
        <w:rPr>
          <w:rFonts w:ascii="Times New Roman" w:hAnsi="Times New Roman" w:eastAsia="仿宋_GB2312" w:cs="Times New Roman"/>
          <w:sz w:val="36"/>
          <w:szCs w:val="36"/>
        </w:rPr>
        <w:t>对从事汽车及零部件相关生产经营的企业，租赁新区内闲置厂房且租赁期较长的，在租赁期内给予租金奖励；对购买或以兼并重组方式盘活新区内闲置厂房的，在投产后次年度一次性按照不超过资产交易额的2%给予竞买资产或股权投资奖励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，最高200万元</w:t>
      </w:r>
      <w:r>
        <w:rPr>
          <w:rFonts w:ascii="Times New Roman" w:hAnsi="Times New Roman" w:eastAsia="仿宋_GB2312" w:cs="Times New Roman"/>
          <w:sz w:val="36"/>
          <w:szCs w:val="36"/>
        </w:rPr>
        <w:t>。</w:t>
      </w:r>
    </w:p>
    <w:p w14:paraId="6F963883">
      <w:pPr>
        <w:spacing w:line="56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  <w:lang w:eastAsia="ja-JP"/>
        </w:rPr>
      </w:pPr>
      <w:r>
        <w:rPr>
          <w:rFonts w:ascii="Times New Roman" w:hAnsi="Times New Roman" w:eastAsia="黑体" w:cs="Times New Roman"/>
          <w:sz w:val="36"/>
          <w:szCs w:val="36"/>
        </w:rPr>
        <w:t>第</w:t>
      </w:r>
      <w:r>
        <w:rPr>
          <w:rFonts w:hint="eastAsia" w:ascii="Times New Roman" w:hAnsi="Times New Roman" w:eastAsia="黑体" w:cs="Times New Roman"/>
          <w:sz w:val="36"/>
          <w:szCs w:val="36"/>
        </w:rPr>
        <w:t>八</w:t>
      </w:r>
      <w:r>
        <w:rPr>
          <w:rFonts w:ascii="Times New Roman" w:hAnsi="Times New Roman" w:eastAsia="黑体" w:cs="Times New Roman"/>
          <w:sz w:val="36"/>
          <w:szCs w:val="36"/>
        </w:rPr>
        <w:t xml:space="preserve">条 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培育新能源汽车废旧动力电池回收利用产业。</w:t>
      </w:r>
    </w:p>
    <w:p w14:paraId="4DD961A2">
      <w:pPr>
        <w:spacing w:line="56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  <w:lang w:eastAsia="ja-JP"/>
        </w:rPr>
      </w:pPr>
      <w:r>
        <w:rPr>
          <w:rFonts w:ascii="Times New Roman" w:hAnsi="Times New Roman" w:eastAsia="仿宋_GB2312" w:cs="Times New Roman"/>
          <w:sz w:val="36"/>
          <w:szCs w:val="36"/>
          <w:lang w:eastAsia="ja-JP"/>
        </w:rPr>
        <w:t>对具备废旧汽车动力电池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ja-JP"/>
        </w:rPr>
        <w:t>年</w:t>
      </w:r>
      <w:r>
        <w:rPr>
          <w:rFonts w:ascii="Times New Roman" w:hAnsi="Times New Roman" w:eastAsia="仿宋_GB2312" w:cs="Times New Roman"/>
          <w:sz w:val="36"/>
          <w:szCs w:val="36"/>
          <w:lang w:eastAsia="ja-JP"/>
        </w:rPr>
        <w:t>处理能力的企业，经评估后一次性奖励100万元，对纳入工信部废旧</w:t>
      </w:r>
      <w:r>
        <w:rPr>
          <w:rFonts w:ascii="Times New Roman" w:hAnsi="Times New Roman" w:eastAsia="仿宋_GB2312" w:cs="Times New Roman"/>
          <w:sz w:val="36"/>
          <w:szCs w:val="36"/>
        </w:rPr>
        <w:t>汽车</w:t>
      </w:r>
      <w:r>
        <w:rPr>
          <w:rFonts w:ascii="Times New Roman" w:hAnsi="Times New Roman" w:eastAsia="仿宋_GB2312" w:cs="Times New Roman"/>
          <w:sz w:val="36"/>
          <w:szCs w:val="36"/>
          <w:lang w:eastAsia="ja-JP"/>
        </w:rPr>
        <w:t>动力电池“白名单”企业，再一次性奖励200万元。</w:t>
      </w:r>
    </w:p>
    <w:p w14:paraId="63474F6C">
      <w:pPr>
        <w:widowControl/>
        <w:spacing w:line="560" w:lineRule="exact"/>
        <w:ind w:firstLine="720" w:firstLineChars="200"/>
        <w:jc w:val="left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  <w:lang w:eastAsia="ja-JP"/>
        </w:rPr>
        <w:t>第</w:t>
      </w:r>
      <w:r>
        <w:rPr>
          <w:rFonts w:hint="eastAsia" w:ascii="Times New Roman" w:hAnsi="Times New Roman" w:eastAsia="黑体" w:cs="Times New Roman"/>
          <w:sz w:val="36"/>
          <w:szCs w:val="36"/>
        </w:rPr>
        <w:t>九</w:t>
      </w:r>
      <w:r>
        <w:rPr>
          <w:rFonts w:hint="eastAsia" w:ascii="Times New Roman" w:hAnsi="Times New Roman" w:eastAsia="黑体" w:cs="Times New Roman"/>
          <w:sz w:val="36"/>
          <w:szCs w:val="36"/>
          <w:lang w:eastAsia="ja-JP"/>
        </w:rPr>
        <w:t xml:space="preserve">条 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ja-JP"/>
        </w:rPr>
        <w:t>加大投融资支持力度。</w:t>
      </w:r>
      <w:r>
        <w:rPr>
          <w:rFonts w:ascii="Times New Roman" w:hAnsi="Times New Roman" w:eastAsia="仿宋_GB2312" w:cs="Times New Roman"/>
          <w:kern w:val="0"/>
          <w:sz w:val="36"/>
          <w:szCs w:val="36"/>
          <w:lang w:eastAsia="ja-JP"/>
        </w:rPr>
        <w:t>对于具有带动和示范作用的</w:t>
      </w:r>
      <w:r>
        <w:rPr>
          <w:rFonts w:ascii="Times New Roman" w:hAnsi="Times New Roman" w:eastAsia="仿宋_GB2312" w:cs="Times New Roman"/>
          <w:kern w:val="0"/>
          <w:sz w:val="36"/>
          <w:szCs w:val="36"/>
        </w:rPr>
        <w:t>汽车及零部件</w:t>
      </w:r>
      <w:r>
        <w:rPr>
          <w:rFonts w:ascii="Times New Roman" w:hAnsi="Times New Roman" w:eastAsia="仿宋_GB2312" w:cs="Times New Roman"/>
          <w:kern w:val="0"/>
          <w:sz w:val="36"/>
          <w:szCs w:val="36"/>
          <w:lang w:eastAsia="ja-JP"/>
        </w:rPr>
        <w:t>制造投资类项目，积极推动国企平台、产业基金按照市场化原则，在股权投资、金融租赁、厂房建设融资等方面给予企业支持。</w:t>
      </w:r>
    </w:p>
    <w:p w14:paraId="10278139">
      <w:pPr>
        <w:spacing w:line="560" w:lineRule="exact"/>
        <w:ind w:firstLine="720" w:firstLineChars="200"/>
        <w:rPr>
          <w:rFonts w:ascii="Times New Roman" w:hAnsi="Times New Roman" w:eastAsia="仿宋_GB2312" w:cs="Times New Roman"/>
          <w:color w:val="000000"/>
          <w:spacing w:val="-8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 xml:space="preserve">第十条 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加强人才引培留用。</w:t>
      </w:r>
      <w:r>
        <w:rPr>
          <w:rFonts w:ascii="Times New Roman" w:hAnsi="Times New Roman" w:eastAsia="仿宋_GB2312" w:cs="Times New Roman"/>
          <w:color w:val="000000"/>
          <w:spacing w:val="-8"/>
          <w:kern w:val="0"/>
          <w:sz w:val="36"/>
          <w:szCs w:val="36"/>
        </w:rPr>
        <w:t>加大汽车及零部件产业人才</w:t>
      </w:r>
      <w:r>
        <w:rPr>
          <w:rFonts w:hint="eastAsia" w:ascii="Times New Roman" w:hAnsi="Times New Roman" w:eastAsia="仿宋_GB2312" w:cs="Times New Roman"/>
          <w:color w:val="000000"/>
          <w:spacing w:val="-8"/>
          <w:kern w:val="0"/>
          <w:sz w:val="36"/>
          <w:szCs w:val="36"/>
        </w:rPr>
        <w:t>的</w:t>
      </w:r>
      <w:r>
        <w:rPr>
          <w:rFonts w:ascii="Times New Roman" w:hAnsi="Times New Roman" w:eastAsia="仿宋_GB2312" w:cs="Times New Roman"/>
          <w:color w:val="000000"/>
          <w:spacing w:val="-8"/>
          <w:kern w:val="0"/>
          <w:sz w:val="36"/>
          <w:szCs w:val="36"/>
        </w:rPr>
        <w:t>支持力度，</w:t>
      </w:r>
      <w:r>
        <w:rPr>
          <w:rFonts w:hint="eastAsia" w:ascii="Times New Roman" w:hAnsi="Times New Roman" w:eastAsia="仿宋_GB2312" w:cs="Times New Roman"/>
          <w:color w:val="000000"/>
          <w:spacing w:val="-8"/>
          <w:kern w:val="0"/>
          <w:sz w:val="36"/>
          <w:szCs w:val="36"/>
        </w:rPr>
        <w:t>对符合相关要求的人才，分类分档享受交通出行、医疗保健、住房保障等服务。</w:t>
      </w:r>
    </w:p>
    <w:p w14:paraId="5086D5EB">
      <w:pPr>
        <w:widowControl/>
        <w:spacing w:line="560" w:lineRule="exact"/>
        <w:ind w:firstLine="688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spacing w:val="-8"/>
          <w:sz w:val="36"/>
          <w:szCs w:val="36"/>
        </w:rPr>
        <w:t>第十</w:t>
      </w:r>
      <w:r>
        <w:rPr>
          <w:rFonts w:hint="eastAsia" w:ascii="Times New Roman" w:hAnsi="Times New Roman" w:eastAsia="黑体" w:cs="Times New Roman"/>
          <w:spacing w:val="-8"/>
          <w:sz w:val="36"/>
          <w:szCs w:val="36"/>
        </w:rPr>
        <w:t>一</w:t>
      </w:r>
      <w:r>
        <w:rPr>
          <w:rFonts w:ascii="Times New Roman" w:hAnsi="Times New Roman" w:eastAsia="黑体" w:cs="Times New Roman"/>
          <w:spacing w:val="-8"/>
          <w:sz w:val="36"/>
          <w:szCs w:val="36"/>
        </w:rPr>
        <w:t>条</w:t>
      </w:r>
      <w:r>
        <w:rPr>
          <w:rFonts w:ascii="Times New Roman" w:hAnsi="Times New Roman" w:eastAsia="楷体" w:cs="Times New Roman"/>
          <w:b/>
          <w:bCs/>
          <w:sz w:val="36"/>
          <w:szCs w:val="36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免费提供周转用人才公寓。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lang w:eastAsia="ja-JP"/>
        </w:rPr>
        <w:t>根据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</w:rPr>
        <w:t>汽车及零部件制造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lang w:eastAsia="ja-JP"/>
        </w:rPr>
        <w:t>企业投资项目需求，免费提供周转用人才公寓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</w:rPr>
        <w:t>，最高不超过50套。</w:t>
      </w:r>
    </w:p>
    <w:p w14:paraId="3A47B31C">
      <w:pPr>
        <w:spacing w:line="56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  <w:highlight w:val="none"/>
          <w:lang w:eastAsia="ja-JP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eastAsia="ja-JP"/>
        </w:rPr>
        <w:t>第十</w:t>
      </w:r>
      <w:r>
        <w:rPr>
          <w:rFonts w:hint="eastAsia" w:ascii="黑体" w:hAnsi="黑体" w:eastAsia="黑体" w:cs="黑体"/>
          <w:sz w:val="36"/>
          <w:szCs w:val="36"/>
          <w:highlight w:val="none"/>
        </w:rPr>
        <w:t>二</w:t>
      </w:r>
      <w:r>
        <w:rPr>
          <w:rFonts w:hint="eastAsia" w:ascii="黑体" w:hAnsi="黑体" w:eastAsia="黑体" w:cs="黑体"/>
          <w:sz w:val="36"/>
          <w:szCs w:val="36"/>
          <w:highlight w:val="none"/>
          <w:lang w:eastAsia="ja-JP"/>
        </w:rPr>
        <w:t>条</w:t>
      </w:r>
      <w:r>
        <w:rPr>
          <w:rFonts w:ascii="Times New Roman" w:hAnsi="Times New Roman" w:eastAsia="楷体" w:cs="Times New Roman"/>
          <w:b/>
          <w:bCs/>
          <w:sz w:val="36"/>
          <w:szCs w:val="36"/>
          <w:highlight w:val="none"/>
        </w:rPr>
        <w:t xml:space="preserve"> </w:t>
      </w:r>
      <w:r>
        <w:rPr>
          <w:rFonts w:ascii="楷体_GB2312" w:hAnsi="楷体_GB2312" w:eastAsia="楷体_GB2312" w:cs="楷体_GB2312"/>
          <w:b/>
          <w:bCs/>
          <w:sz w:val="36"/>
          <w:szCs w:val="36"/>
          <w:highlight w:val="none"/>
        </w:rPr>
        <w:t>降低企业用地成本。</w:t>
      </w:r>
      <w:r>
        <w:rPr>
          <w:rFonts w:ascii="Times New Roman" w:hAnsi="Times New Roman" w:eastAsia="仿宋_GB2312" w:cs="Times New Roman"/>
          <w:sz w:val="36"/>
          <w:szCs w:val="36"/>
          <w:highlight w:val="none"/>
          <w:lang w:eastAsia="ja-JP"/>
        </w:rPr>
        <w:t>做好</w:t>
      </w:r>
      <w:r>
        <w:rPr>
          <w:rFonts w:ascii="Times New Roman" w:hAnsi="Times New Roman" w:eastAsia="仿宋_GB2312" w:cs="Times New Roman"/>
          <w:sz w:val="36"/>
          <w:szCs w:val="36"/>
          <w:highlight w:val="none"/>
        </w:rPr>
        <w:t>汽车及零部件</w:t>
      </w:r>
      <w:r>
        <w:rPr>
          <w:rFonts w:ascii="Times New Roman" w:hAnsi="Times New Roman" w:eastAsia="仿宋_GB2312" w:cs="Times New Roman"/>
          <w:sz w:val="36"/>
          <w:szCs w:val="36"/>
          <w:highlight w:val="none"/>
          <w:lang w:eastAsia="ja-JP"/>
        </w:rPr>
        <w:t>制造企业用地保障，可按照</w:t>
      </w:r>
      <w:r>
        <w:rPr>
          <w:rFonts w:ascii="Times New Roman" w:hAnsi="Times New Roman" w:eastAsia="仿宋_GB2312" w:cs="Times New Roman"/>
          <w:sz w:val="36"/>
          <w:szCs w:val="36"/>
          <w:highlight w:val="none"/>
        </w:rPr>
        <w:t>“</w:t>
      </w:r>
      <w:r>
        <w:rPr>
          <w:rFonts w:ascii="Times New Roman" w:hAnsi="Times New Roman" w:eastAsia="仿宋_GB2312" w:cs="Times New Roman"/>
          <w:sz w:val="36"/>
          <w:szCs w:val="36"/>
          <w:highlight w:val="none"/>
          <w:lang w:eastAsia="ja-JP"/>
        </w:rPr>
        <w:t>弹性出让</w:t>
      </w:r>
      <w:r>
        <w:rPr>
          <w:rFonts w:ascii="Times New Roman" w:hAnsi="Times New Roman" w:eastAsia="仿宋_GB2312" w:cs="Times New Roman"/>
          <w:sz w:val="36"/>
          <w:szCs w:val="36"/>
          <w:highlight w:val="none"/>
        </w:rPr>
        <w:t>”“</w:t>
      </w:r>
      <w:r>
        <w:rPr>
          <w:rFonts w:ascii="Times New Roman" w:hAnsi="Times New Roman" w:eastAsia="仿宋_GB2312" w:cs="Times New Roman"/>
          <w:sz w:val="36"/>
          <w:szCs w:val="36"/>
          <w:highlight w:val="none"/>
          <w:lang w:eastAsia="ja-JP"/>
        </w:rPr>
        <w:t>先租后让</w:t>
      </w:r>
      <w:r>
        <w:rPr>
          <w:rFonts w:ascii="Times New Roman" w:hAnsi="Times New Roman" w:eastAsia="仿宋_GB2312" w:cs="Times New Roman"/>
          <w:sz w:val="36"/>
          <w:szCs w:val="36"/>
          <w:highlight w:val="none"/>
        </w:rPr>
        <w:t>”</w:t>
      </w:r>
      <w:r>
        <w:rPr>
          <w:rFonts w:ascii="Times New Roman" w:hAnsi="Times New Roman" w:eastAsia="仿宋_GB2312" w:cs="Times New Roman"/>
          <w:sz w:val="36"/>
          <w:szCs w:val="36"/>
          <w:highlight w:val="none"/>
          <w:lang w:eastAsia="ja-JP"/>
        </w:rPr>
        <w:t>等方式予以供地。推行</w:t>
      </w:r>
      <w:r>
        <w:rPr>
          <w:rFonts w:ascii="Times New Roman" w:hAnsi="Times New Roman" w:eastAsia="仿宋_GB2312" w:cs="Times New Roman"/>
          <w:sz w:val="36"/>
          <w:szCs w:val="36"/>
          <w:highlight w:val="none"/>
        </w:rPr>
        <w:t>“</w:t>
      </w:r>
      <w:r>
        <w:rPr>
          <w:rFonts w:ascii="Times New Roman" w:hAnsi="Times New Roman" w:eastAsia="仿宋_GB2312" w:cs="Times New Roman"/>
          <w:sz w:val="36"/>
          <w:szCs w:val="36"/>
          <w:highlight w:val="none"/>
          <w:lang w:eastAsia="ja-JP"/>
        </w:rPr>
        <w:t>标准地</w:t>
      </w:r>
      <w:r>
        <w:rPr>
          <w:rFonts w:ascii="Times New Roman" w:hAnsi="Times New Roman" w:eastAsia="仿宋_GB2312" w:cs="Times New Roman"/>
          <w:sz w:val="36"/>
          <w:szCs w:val="36"/>
          <w:highlight w:val="none"/>
        </w:rPr>
        <w:t>”</w:t>
      </w:r>
      <w:r>
        <w:rPr>
          <w:rFonts w:ascii="Times New Roman" w:hAnsi="Times New Roman" w:eastAsia="仿宋_GB2312" w:cs="Times New Roman"/>
          <w:sz w:val="36"/>
          <w:szCs w:val="36"/>
          <w:highlight w:val="none"/>
          <w:lang w:eastAsia="ja-JP"/>
        </w:rPr>
        <w:t>供地，探索实施包容性激励约束机制，支持企业</w:t>
      </w:r>
      <w:r>
        <w:rPr>
          <w:rFonts w:ascii="Times New Roman" w:hAnsi="Times New Roman" w:eastAsia="仿宋_GB2312" w:cs="Times New Roman"/>
          <w:sz w:val="36"/>
          <w:szCs w:val="36"/>
          <w:highlight w:val="none"/>
        </w:rPr>
        <w:t>“</w:t>
      </w:r>
      <w:r>
        <w:rPr>
          <w:rFonts w:ascii="Times New Roman" w:hAnsi="Times New Roman" w:eastAsia="仿宋_GB2312" w:cs="Times New Roman"/>
          <w:sz w:val="36"/>
          <w:szCs w:val="36"/>
          <w:highlight w:val="none"/>
          <w:lang w:eastAsia="ja-JP"/>
        </w:rPr>
        <w:t>摘牌即开工、竣工即验收、验收即办证</w:t>
      </w:r>
      <w:r>
        <w:rPr>
          <w:rFonts w:ascii="Times New Roman" w:hAnsi="Times New Roman" w:eastAsia="仿宋_GB2312" w:cs="Times New Roman"/>
          <w:sz w:val="36"/>
          <w:szCs w:val="36"/>
          <w:highlight w:val="none"/>
        </w:rPr>
        <w:t>”</w:t>
      </w:r>
      <w:r>
        <w:rPr>
          <w:rFonts w:ascii="Times New Roman" w:hAnsi="Times New Roman" w:eastAsia="仿宋_GB2312" w:cs="Times New Roman"/>
          <w:sz w:val="36"/>
          <w:szCs w:val="36"/>
          <w:highlight w:val="none"/>
          <w:lang w:eastAsia="ja-JP"/>
        </w:rPr>
        <w:t>。</w:t>
      </w:r>
    </w:p>
    <w:p w14:paraId="62507697">
      <w:pPr>
        <w:widowControl/>
        <w:shd w:val="clear" w:color="auto" w:fill="FFFFFF"/>
        <w:wordWrap w:val="0"/>
        <w:spacing w:before="100" w:after="67" w:line="560" w:lineRule="exact"/>
        <w:ind w:firstLine="420" w:firstLineChars="200"/>
        <w:jc w:val="left"/>
        <w:rPr>
          <w:lang w:eastAsia="ja-JP"/>
        </w:rPr>
      </w:pPr>
    </w:p>
    <w:p w14:paraId="0CF614C1">
      <w:pPr>
        <w:spacing w:line="560" w:lineRule="exact"/>
        <w:jc w:val="center"/>
        <w:rPr>
          <w:rFonts w:ascii="Times New Roman" w:hAnsi="Times New Roman" w:eastAsia="仿宋_GB2312" w:cs="Times New Roman"/>
          <w:sz w:val="36"/>
          <w:szCs w:val="36"/>
          <w:lang w:eastAsia="ja-JP"/>
        </w:rPr>
      </w:pPr>
      <w:r>
        <w:rPr>
          <w:rFonts w:ascii="Times New Roman" w:hAnsi="Times New Roman" w:eastAsia="黑体" w:cs="Times New Roman"/>
          <w:sz w:val="36"/>
          <w:szCs w:val="36"/>
          <w:lang w:eastAsia="ja-JP"/>
        </w:rPr>
        <w:t>第三章</w:t>
      </w:r>
      <w:r>
        <w:rPr>
          <w:rFonts w:ascii="Times New Roman" w:hAnsi="Times New Roman" w:eastAsia="黑体" w:cs="Times New Roman"/>
          <w:sz w:val="36"/>
          <w:szCs w:val="36"/>
        </w:rPr>
        <w:t xml:space="preserve">  </w:t>
      </w:r>
      <w:r>
        <w:rPr>
          <w:rFonts w:ascii="Times New Roman" w:hAnsi="Times New Roman" w:eastAsia="黑体" w:cs="Times New Roman"/>
          <w:sz w:val="36"/>
          <w:szCs w:val="36"/>
          <w:lang w:eastAsia="ja-JP"/>
        </w:rPr>
        <w:t>附则</w:t>
      </w:r>
    </w:p>
    <w:p w14:paraId="1A28264E">
      <w:pPr>
        <w:spacing w:line="560" w:lineRule="exact"/>
        <w:ind w:firstLine="720" w:firstLineChars="200"/>
        <w:rPr>
          <w:rFonts w:ascii="Times New Roman" w:hAnsi="Times New Roman" w:eastAsia="仿宋" w:cs="Times New Roman"/>
          <w:sz w:val="36"/>
          <w:szCs w:val="36"/>
          <w:lang w:eastAsia="ja-JP"/>
        </w:rPr>
      </w:pPr>
      <w:r>
        <w:rPr>
          <w:rFonts w:ascii="Times New Roman" w:hAnsi="Times New Roman" w:eastAsia="黑体" w:cs="Times New Roman"/>
          <w:sz w:val="36"/>
          <w:szCs w:val="36"/>
        </w:rPr>
        <w:t>第十</w:t>
      </w:r>
      <w:r>
        <w:rPr>
          <w:rFonts w:hint="eastAsia" w:ascii="Times New Roman" w:hAnsi="Times New Roman" w:eastAsia="黑体" w:cs="Times New Roman"/>
          <w:sz w:val="36"/>
          <w:szCs w:val="36"/>
        </w:rPr>
        <w:t>三</w:t>
      </w:r>
      <w:r>
        <w:rPr>
          <w:rFonts w:ascii="Times New Roman" w:hAnsi="Times New Roman" w:eastAsia="黑体" w:cs="Times New Roman"/>
          <w:sz w:val="36"/>
          <w:szCs w:val="36"/>
        </w:rPr>
        <w:t>条</w:t>
      </w:r>
      <w:r>
        <w:rPr>
          <w:rFonts w:ascii="Times New Roman" w:hAnsi="Times New Roman" w:eastAsia="仿宋_GB2312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6"/>
          <w:szCs w:val="36"/>
          <w:lang w:eastAsia="ja-JP"/>
        </w:rPr>
        <w:t>对于同一事项同时符合省市区其他政策的，按照“从新、就高、不重复”的原则执行，在企业取得省市其他政策支持的基础上，新区对差额部分给予支持。</w:t>
      </w:r>
    </w:p>
    <w:p w14:paraId="50250B22">
      <w:pPr>
        <w:spacing w:line="560" w:lineRule="exact"/>
        <w:ind w:firstLine="720" w:firstLineChars="2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ascii="Times New Roman" w:hAnsi="Times New Roman" w:eastAsia="黑体" w:cs="Times New Roman"/>
          <w:sz w:val="36"/>
          <w:szCs w:val="36"/>
          <w:lang w:eastAsia="ja-JP"/>
        </w:rPr>
        <w:t>第</w:t>
      </w:r>
      <w:r>
        <w:rPr>
          <w:rFonts w:ascii="Times New Roman" w:hAnsi="Times New Roman" w:eastAsia="黑体" w:cs="Times New Roman"/>
          <w:sz w:val="36"/>
          <w:szCs w:val="36"/>
        </w:rPr>
        <w:t>十</w:t>
      </w:r>
      <w:r>
        <w:rPr>
          <w:rFonts w:hint="eastAsia" w:ascii="Times New Roman" w:hAnsi="Times New Roman" w:eastAsia="黑体" w:cs="Times New Roman"/>
          <w:sz w:val="36"/>
          <w:szCs w:val="36"/>
        </w:rPr>
        <w:t>四</w:t>
      </w:r>
      <w:r>
        <w:rPr>
          <w:rFonts w:ascii="Times New Roman" w:hAnsi="Times New Roman" w:eastAsia="黑体" w:cs="Times New Roman"/>
          <w:sz w:val="36"/>
          <w:szCs w:val="36"/>
          <w:lang w:eastAsia="ja-JP"/>
        </w:rPr>
        <w:t>条</w:t>
      </w:r>
      <w:r>
        <w:rPr>
          <w:rFonts w:ascii="Times New Roman" w:hAnsi="Times New Roman" w:eastAsia="仿宋_GB2312" w:cs="Times New Roman"/>
          <w:sz w:val="36"/>
          <w:szCs w:val="36"/>
          <w:lang w:eastAsia="ja-JP"/>
        </w:rPr>
        <w:t xml:space="preserve"> 本</w:t>
      </w:r>
      <w:r>
        <w:rPr>
          <w:rFonts w:ascii="Times New Roman" w:hAnsi="Times New Roman" w:eastAsia="仿宋_GB2312" w:cs="Times New Roman"/>
          <w:sz w:val="36"/>
          <w:szCs w:val="36"/>
        </w:rPr>
        <w:t>政策</w:t>
      </w:r>
      <w:r>
        <w:rPr>
          <w:rFonts w:ascii="Times New Roman" w:hAnsi="Times New Roman" w:eastAsia="仿宋_GB2312" w:cs="Times New Roman"/>
          <w:sz w:val="36"/>
          <w:szCs w:val="36"/>
          <w:lang w:eastAsia="ja-JP"/>
        </w:rPr>
        <w:t>自202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x</w:t>
      </w:r>
      <w:r>
        <w:rPr>
          <w:rFonts w:ascii="Times New Roman" w:hAnsi="Times New Roman" w:eastAsia="仿宋_GB2312" w:cs="Times New Roman"/>
          <w:sz w:val="36"/>
          <w:szCs w:val="36"/>
          <w:lang w:eastAsia="ja-JP"/>
        </w:rPr>
        <w:t>年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6"/>
          <w:szCs w:val="36"/>
          <w:lang w:eastAsia="ja-JP"/>
        </w:rPr>
        <w:t>月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6"/>
          <w:szCs w:val="36"/>
          <w:lang w:eastAsia="ja-JP"/>
        </w:rPr>
        <w:t>日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实施，有效期两年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。</w:t>
      </w:r>
    </w:p>
    <w:p w14:paraId="71684124">
      <w:pPr>
        <w:spacing w:line="560" w:lineRule="exact"/>
        <w:jc w:val="both"/>
      </w:pPr>
    </w:p>
    <w:sectPr>
      <w:footerReference r:id="rId3" w:type="default"/>
      <w:pgSz w:w="11906" w:h="16838"/>
      <w:pgMar w:top="1440" w:right="1440" w:bottom="873" w:left="1440" w:header="851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ED63A8-E37F-4146-9FF7-742CF361B0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4506DB1-E43D-4D2B-B265-8747B836542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A5872D7-D9A3-47D5-B4B1-CDE8D0944F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B08D9F4-4037-4350-AE36-BF19DE90AC6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CA89802-7D15-43E6-B759-DD8F8CE8DA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6398C29-A96D-4894-A1C3-78EA7C54DB18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6AF65">
    <w:pPr>
      <w:pStyle w:val="6"/>
      <w:tabs>
        <w:tab w:val="clear" w:pos="4153"/>
      </w:tabs>
      <w:jc w:val="both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D0FDA5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AIqGRN4QEAALs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0FDA5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48"/>
    <w:rsid w:val="00303891"/>
    <w:rsid w:val="00402CEF"/>
    <w:rsid w:val="005E7548"/>
    <w:rsid w:val="00647508"/>
    <w:rsid w:val="00736657"/>
    <w:rsid w:val="00784D6B"/>
    <w:rsid w:val="00925952"/>
    <w:rsid w:val="0092601A"/>
    <w:rsid w:val="009627C3"/>
    <w:rsid w:val="00AC6A1E"/>
    <w:rsid w:val="00B076C8"/>
    <w:rsid w:val="00CE423A"/>
    <w:rsid w:val="00D45F04"/>
    <w:rsid w:val="010C0502"/>
    <w:rsid w:val="026D3223"/>
    <w:rsid w:val="03D2250D"/>
    <w:rsid w:val="07283D78"/>
    <w:rsid w:val="095949B1"/>
    <w:rsid w:val="0C935215"/>
    <w:rsid w:val="0F835BFE"/>
    <w:rsid w:val="10BD13C4"/>
    <w:rsid w:val="11407E15"/>
    <w:rsid w:val="14382BB5"/>
    <w:rsid w:val="185425DE"/>
    <w:rsid w:val="1A074AF8"/>
    <w:rsid w:val="1B10061C"/>
    <w:rsid w:val="1B1D4250"/>
    <w:rsid w:val="233B1741"/>
    <w:rsid w:val="27133AE9"/>
    <w:rsid w:val="2D443234"/>
    <w:rsid w:val="319C5D86"/>
    <w:rsid w:val="453B5FB7"/>
    <w:rsid w:val="478E2578"/>
    <w:rsid w:val="530103EA"/>
    <w:rsid w:val="53350CD9"/>
    <w:rsid w:val="56E256EC"/>
    <w:rsid w:val="570B03B5"/>
    <w:rsid w:val="5D525F29"/>
    <w:rsid w:val="5F36545B"/>
    <w:rsid w:val="6F1502CF"/>
    <w:rsid w:val="6F1B075F"/>
    <w:rsid w:val="736810C4"/>
    <w:rsid w:val="758B68F4"/>
    <w:rsid w:val="76B95A2B"/>
    <w:rsid w:val="7BDA78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rFonts w:cs="Times New Roman"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Balloon Text"/>
    <w:basedOn w:val="1"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customStyle="1" w:styleId="1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3">
    <w:name w:val="样式 正文001 + 首行缩进:  2 字符1"/>
    <w:basedOn w:val="1"/>
    <w:qFormat/>
    <w:uiPriority w:val="0"/>
    <w:pPr>
      <w:spacing w:before="60" w:line="460" w:lineRule="exact"/>
      <w:ind w:firstLine="480" w:firstLineChars="200"/>
    </w:pPr>
    <w:rPr>
      <w:rFonts w:ascii="宋体" w:hAnsi="宋体"/>
      <w:sz w:val="24"/>
    </w:rPr>
  </w:style>
  <w:style w:type="paragraph" w:customStyle="1" w:styleId="14">
    <w:name w:val="样式 正文11 + 首行缩进:  2 字符"/>
    <w:basedOn w:val="1"/>
    <w:qFormat/>
    <w:uiPriority w:val="99"/>
    <w:pPr>
      <w:ind w:firstLine="560"/>
    </w:pPr>
    <w:rPr>
      <w:rFonts w:hint="eastAsia" w:ascii="宋体" w:hAnsi="宋体"/>
      <w:color w:val="FF0000"/>
    </w:rPr>
  </w:style>
  <w:style w:type="paragraph" w:customStyle="1" w:styleId="15">
    <w:name w:val="纯文本1"/>
    <w:basedOn w:val="1"/>
    <w:qFormat/>
    <w:uiPriority w:val="0"/>
    <w:rPr>
      <w:rFonts w:ascii="宋体" w:hAnsi="Courier New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1356</Words>
  <Characters>1406</Characters>
  <Lines>31</Lines>
  <Paragraphs>8</Paragraphs>
  <TotalTime>20</TotalTime>
  <ScaleCrop>false</ScaleCrop>
  <LinksUpToDate>false</LinksUpToDate>
  <CharactersWithSpaces>1426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2024-05-16T12:12:00Z</dcterms:created>
  <dc:creator>佟斌</dc:creator>
  <cp:lastModifiedBy>Lenovo</cp:lastModifiedBy>
  <cp:lastPrinted>2025-12-09T01:38:00Z</cp:lastPrinted>
  <dcterms:modified xsi:type="dcterms:W3CDTF">2025-12-10T07:41:59Z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D6C597A9056B4AE699611DBCCB32F8F1_13</vt:lpwstr>
  </property>
  <property fmtid="{D5CDD505-2E9C-101B-9397-08002B2CF9AE}" pid="4" name="KSOTemplateDocerSaveRecord">
    <vt:lpwstr>eyJoZGlkIjoiNDExZTM0YjBjZTVlNGVjMjAwZTY1ODk4NWY5ZjUwZWYiLCJ1c2VySWQiOiIzNzg2NTA2ODYifQ==</vt:lpwstr>
  </property>
</Properties>
</file>