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240" w:lineRule="auto"/>
        <w:ind w:left="0" w:leftChars="0" w:right="640"/>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44"/>
          <w:szCs w:val="44"/>
          <w:lang w:val="en-US" w:eastAsia="zh-CN"/>
        </w:rPr>
        <w:t>大连</w:t>
      </w:r>
      <w:bookmarkStart w:id="0" w:name="_GoBack"/>
      <w:bookmarkEnd w:id="0"/>
      <w:r>
        <w:rPr>
          <w:rFonts w:hint="eastAsia" w:asciiTheme="minorEastAsia" w:hAnsiTheme="minorEastAsia" w:eastAsiaTheme="minorEastAsia" w:cstheme="minorEastAsia"/>
          <w:b/>
          <w:bCs/>
          <w:sz w:val="44"/>
          <w:szCs w:val="44"/>
          <w:lang w:val="en-US" w:eastAsia="zh-CN"/>
        </w:rPr>
        <w:t>金普新区交通运输局</w:t>
      </w:r>
      <w:r>
        <w:rPr>
          <w:rFonts w:hint="eastAsia" w:asciiTheme="minorEastAsia" w:hAnsiTheme="minorEastAsia" w:eastAsiaTheme="minorEastAsia" w:cstheme="minorEastAsia"/>
          <w:b/>
          <w:bCs/>
          <w:sz w:val="44"/>
          <w:szCs w:val="44"/>
          <w:lang w:eastAsia="zh-CN"/>
        </w:rPr>
        <w:t>202</w:t>
      </w:r>
      <w:r>
        <w:rPr>
          <w:rFonts w:hint="eastAsia" w:asciiTheme="minorEastAsia" w:hAnsiTheme="minorEastAsia" w:eastAsiaTheme="minorEastAsia" w:cstheme="minorEastAsia"/>
          <w:b/>
          <w:bCs/>
          <w:sz w:val="44"/>
          <w:szCs w:val="44"/>
          <w:lang w:val="en-US" w:eastAsia="zh-CN"/>
        </w:rPr>
        <w:t>2</w:t>
      </w:r>
      <w:r>
        <w:rPr>
          <w:rFonts w:hint="eastAsia" w:asciiTheme="minorEastAsia" w:hAnsiTheme="minorEastAsia" w:eastAsiaTheme="minorEastAsia" w:cstheme="minorEastAsia"/>
          <w:b/>
          <w:bCs/>
          <w:sz w:val="44"/>
          <w:szCs w:val="44"/>
        </w:rPr>
        <w:t>年</w:t>
      </w:r>
      <w:r>
        <w:rPr>
          <w:rFonts w:hint="eastAsia" w:asciiTheme="minorEastAsia" w:hAnsiTheme="minorEastAsia" w:eastAsiaTheme="minorEastAsia" w:cstheme="minorEastAsia"/>
          <w:b/>
          <w:bCs/>
          <w:sz w:val="44"/>
          <w:szCs w:val="44"/>
          <w:lang w:eastAsia="zh-CN"/>
        </w:rPr>
        <w:t>行政执法检查</w:t>
      </w:r>
      <w:r>
        <w:rPr>
          <w:rFonts w:hint="eastAsia" w:asciiTheme="minorEastAsia" w:hAnsiTheme="minorEastAsia" w:eastAsiaTheme="minorEastAsia" w:cstheme="minorEastAsia"/>
          <w:b/>
          <w:bCs/>
          <w:sz w:val="44"/>
          <w:szCs w:val="44"/>
        </w:rPr>
        <w:t>计划</w:t>
      </w:r>
    </w:p>
    <w:p>
      <w:pPr>
        <w:keepNext w:val="0"/>
        <w:keepLines w:val="0"/>
        <w:pageBreakBefore w:val="0"/>
        <w:kinsoku/>
        <w:wordWrap w:val="0"/>
        <w:overflowPunct/>
        <w:topLinePunct w:val="0"/>
        <w:autoSpaceDE/>
        <w:autoSpaceDN/>
        <w:bidi w:val="0"/>
        <w:adjustRightInd/>
        <w:snapToGrid/>
        <w:spacing w:line="240" w:lineRule="auto"/>
        <w:ind w:left="0" w:leftChars="0" w:right="640"/>
        <w:jc w:val="both"/>
        <w:textAlignment w:val="auto"/>
        <w:outlineLvl w:val="9"/>
        <w:rPr>
          <w:rFonts w:hint="eastAsia" w:asciiTheme="minorEastAsia" w:hAnsiTheme="minorEastAsia" w:eastAsiaTheme="minorEastAsia" w:cstheme="minorEastAsia"/>
          <w:sz w:val="32"/>
          <w:szCs w:val="32"/>
          <w:lang w:eastAsia="zh-CN"/>
        </w:rPr>
      </w:pPr>
    </w:p>
    <w:tbl>
      <w:tblPr>
        <w:tblStyle w:val="6"/>
        <w:tblW w:w="13558" w:type="dxa"/>
        <w:tblInd w:w="-45" w:type="dxa"/>
        <w:tblLayout w:type="fixed"/>
        <w:tblCellMar>
          <w:top w:w="0" w:type="dxa"/>
          <w:left w:w="108" w:type="dxa"/>
          <w:bottom w:w="0" w:type="dxa"/>
          <w:right w:w="108" w:type="dxa"/>
        </w:tblCellMar>
      </w:tblPr>
      <w:tblGrid>
        <w:gridCol w:w="597"/>
        <w:gridCol w:w="1913"/>
        <w:gridCol w:w="1600"/>
        <w:gridCol w:w="2252"/>
        <w:gridCol w:w="3521"/>
        <w:gridCol w:w="990"/>
        <w:gridCol w:w="1590"/>
        <w:gridCol w:w="1095"/>
      </w:tblGrid>
      <w:tr>
        <w:tblPrEx>
          <w:tblCellMar>
            <w:top w:w="0" w:type="dxa"/>
            <w:left w:w="108" w:type="dxa"/>
            <w:bottom w:w="0" w:type="dxa"/>
            <w:right w:w="108" w:type="dxa"/>
          </w:tblCellMar>
        </w:tblPrEx>
        <w:trPr>
          <w:trHeight w:val="915" w:hRule="atLeast"/>
        </w:trPr>
        <w:tc>
          <w:tcPr>
            <w:tcW w:w="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序号</w:t>
            </w:r>
          </w:p>
        </w:tc>
        <w:tc>
          <w:tcPr>
            <w:tcW w:w="19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执法机关</w:t>
            </w:r>
          </w:p>
        </w:tc>
        <w:tc>
          <w:tcPr>
            <w:tcW w:w="16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检查对象</w:t>
            </w: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检查</w:t>
            </w:r>
            <w:r>
              <w:rPr>
                <w:rFonts w:hint="eastAsia" w:asciiTheme="minorEastAsia" w:hAnsiTheme="minorEastAsia" w:eastAsiaTheme="minorEastAsia" w:cstheme="minorEastAsia"/>
                <w:kern w:val="0"/>
                <w:sz w:val="32"/>
                <w:szCs w:val="32"/>
                <w:lang w:eastAsia="zh-CN"/>
              </w:rPr>
              <w:t>内容</w:t>
            </w:r>
          </w:p>
        </w:tc>
        <w:tc>
          <w:tcPr>
            <w:tcW w:w="35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检查依据</w:t>
            </w: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检查</w:t>
            </w:r>
            <w:r>
              <w:rPr>
                <w:rFonts w:hint="eastAsia" w:asciiTheme="minorEastAsia" w:hAnsiTheme="minorEastAsia" w:eastAsiaTheme="minorEastAsia" w:cstheme="minorEastAsia"/>
                <w:kern w:val="0"/>
                <w:sz w:val="32"/>
                <w:szCs w:val="32"/>
                <w:lang w:eastAsia="zh-CN"/>
              </w:rPr>
              <w:t>时间</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检查</w:t>
            </w:r>
            <w:r>
              <w:rPr>
                <w:rFonts w:hint="eastAsia" w:asciiTheme="minorEastAsia" w:hAnsiTheme="minorEastAsia" w:eastAsiaTheme="minorEastAsia" w:cstheme="minorEastAsia"/>
                <w:kern w:val="0"/>
                <w:sz w:val="32"/>
                <w:szCs w:val="32"/>
                <w:lang w:eastAsia="zh-CN"/>
              </w:rPr>
              <w:t>方式</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联合部门</w:t>
            </w:r>
          </w:p>
        </w:tc>
      </w:tr>
      <w:tr>
        <w:tblPrEx>
          <w:tblCellMar>
            <w:top w:w="0" w:type="dxa"/>
            <w:left w:w="108" w:type="dxa"/>
            <w:bottom w:w="0" w:type="dxa"/>
            <w:right w:w="108" w:type="dxa"/>
          </w:tblCellMar>
        </w:tblPrEx>
        <w:trPr>
          <w:trHeight w:val="421" w:hRule="atLeast"/>
        </w:trPr>
        <w:tc>
          <w:tcPr>
            <w:tcW w:w="597"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p>
          <w:p>
            <w:pPr>
              <w:widowControl/>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p>
            <w:pPr>
              <w:widowControl/>
              <w:jc w:val="center"/>
              <w:rPr>
                <w:rFonts w:hint="eastAsia" w:asciiTheme="minorEastAsia" w:hAnsiTheme="minorEastAsia" w:eastAsiaTheme="minorEastAsia" w:cstheme="minorEastAsia"/>
                <w:kern w:val="0"/>
                <w:sz w:val="18"/>
                <w:szCs w:val="18"/>
              </w:rPr>
            </w:pPr>
          </w:p>
        </w:tc>
        <w:tc>
          <w:tcPr>
            <w:tcW w:w="1913" w:type="dxa"/>
            <w:tcBorders>
              <w:top w:val="nil"/>
              <w:left w:val="nil"/>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金普新区交通运输局（金普新区交通运输综合行政执法队）</w:t>
            </w:r>
          </w:p>
        </w:tc>
        <w:tc>
          <w:tcPr>
            <w:tcW w:w="1600"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道路运输经营及道路运输相关业企业（26家）</w:t>
            </w:r>
          </w:p>
        </w:tc>
        <w:tc>
          <w:tcPr>
            <w:tcW w:w="2252"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企业资质条件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安全生产主体责任</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从业人员资质条件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车辆资质条件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场地资质条件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制度落实情况。</w:t>
            </w:r>
          </w:p>
          <w:p>
            <w:pPr>
              <w:jc w:val="left"/>
              <w:rPr>
                <w:rFonts w:hint="eastAsia" w:asciiTheme="minorEastAsia" w:hAnsiTheme="minorEastAsia" w:eastAsiaTheme="minorEastAsia" w:cstheme="minorEastAsia"/>
                <w:kern w:val="0"/>
                <w:sz w:val="18"/>
                <w:szCs w:val="18"/>
              </w:rPr>
            </w:pPr>
          </w:p>
        </w:tc>
        <w:tc>
          <w:tcPr>
            <w:tcW w:w="3521"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《中华人民共和国道路运输条例》</w:t>
            </w:r>
            <w:r>
              <w:rPr>
                <w:rFonts w:hint="eastAsia" w:asciiTheme="minorEastAsia" w:hAnsiTheme="minorEastAsia" w:eastAsiaTheme="minorEastAsia" w:cstheme="minorEastAsia"/>
                <w:color w:val="000000"/>
                <w:kern w:val="0"/>
                <w:sz w:val="18"/>
                <w:szCs w:val="18"/>
                <w:lang w:eastAsia="zh-CN"/>
              </w:rPr>
              <w:t>第七条第三款 县级以上道路运输管理机构负责具体实施道路运输管理工作。</w:t>
            </w:r>
            <w:r>
              <w:rPr>
                <w:rFonts w:hint="eastAsia" w:asciiTheme="minorEastAsia" w:hAnsiTheme="minorEastAsia" w:eastAsiaTheme="minorEastAsia" w:cstheme="minorEastAsia"/>
                <w:color w:val="000000"/>
                <w:kern w:val="0"/>
                <w:sz w:val="18"/>
                <w:szCs w:val="18"/>
                <w:lang w:val="en-US" w:eastAsia="zh-CN"/>
              </w:rPr>
              <w:t xml:space="preserve"> </w:t>
            </w:r>
            <w:r>
              <w:rPr>
                <w:rFonts w:hint="eastAsia" w:asciiTheme="minorEastAsia" w:hAnsiTheme="minorEastAsia" w:eastAsiaTheme="minorEastAsia" w:cstheme="minorEastAsia"/>
                <w:color w:val="000000"/>
                <w:kern w:val="0"/>
                <w:sz w:val="18"/>
                <w:szCs w:val="18"/>
              </w:rPr>
              <w:t>第五十八条</w:t>
            </w:r>
            <w:r>
              <w:rPr>
                <w:rFonts w:hint="eastAsia" w:asciiTheme="minorEastAsia" w:hAnsiTheme="minorEastAsia" w:eastAsiaTheme="minorEastAsia" w:cstheme="minorEastAsia"/>
                <w:color w:val="000000"/>
                <w:kern w:val="0"/>
                <w:sz w:val="18"/>
                <w:szCs w:val="18"/>
                <w:lang w:eastAsia="zh-CN"/>
              </w:rPr>
              <w:t>第一款</w:t>
            </w:r>
            <w:r>
              <w:rPr>
                <w:rFonts w:hint="eastAsia" w:asciiTheme="minorEastAsia" w:hAnsiTheme="minorEastAsia" w:eastAsiaTheme="minorEastAsia" w:cstheme="minorEastAsia"/>
                <w:color w:val="000000"/>
                <w:kern w:val="0"/>
                <w:sz w:val="18"/>
                <w:szCs w:val="18"/>
              </w:rPr>
              <w:t xml:space="preserve"> 道路运输管理机构的工作人员应当严格按照职责权限和程序进行监督检查，</w:t>
            </w:r>
            <w:r>
              <w:rPr>
                <w:rFonts w:hint="eastAsia" w:asciiTheme="minorEastAsia" w:hAnsiTheme="minorEastAsia" w:eastAsiaTheme="minorEastAsia" w:cstheme="minorEastAsia"/>
                <w:color w:val="000000"/>
                <w:kern w:val="0"/>
                <w:sz w:val="18"/>
                <w:szCs w:val="18"/>
                <w:lang w:eastAsia="zh-CN"/>
              </w:rPr>
              <w:t>不得乱设卡、乱收费、乱罚。</w:t>
            </w:r>
            <w:r>
              <w:rPr>
                <w:rFonts w:hint="eastAsia" w:asciiTheme="minorEastAsia" w:hAnsiTheme="minorEastAsia" w:eastAsiaTheme="minorEastAsia" w:cstheme="minorEastAsia"/>
                <w:color w:val="000000"/>
                <w:kern w:val="0"/>
                <w:sz w:val="18"/>
                <w:szCs w:val="18"/>
              </w:rPr>
              <w:t>第五十八条</w:t>
            </w:r>
            <w:r>
              <w:rPr>
                <w:rFonts w:hint="eastAsia" w:asciiTheme="minorEastAsia" w:hAnsiTheme="minorEastAsia" w:eastAsiaTheme="minorEastAsia" w:cstheme="minorEastAsia"/>
                <w:color w:val="000000"/>
                <w:kern w:val="0"/>
                <w:sz w:val="18"/>
                <w:szCs w:val="18"/>
                <w:lang w:eastAsia="zh-CN"/>
              </w:rPr>
              <w:t>第二款</w:t>
            </w:r>
            <w:r>
              <w:rPr>
                <w:rFonts w:hint="eastAsia" w:asciiTheme="minorEastAsia" w:hAnsiTheme="minorEastAsia" w:eastAsiaTheme="minorEastAsia" w:cstheme="minorEastAsia"/>
                <w:color w:val="000000"/>
                <w:kern w:val="0"/>
                <w:sz w:val="18"/>
                <w:szCs w:val="18"/>
                <w:lang w:val="en-US" w:eastAsia="zh-CN"/>
              </w:rPr>
              <w:t xml:space="preserve"> 道路运输管理机构的工作人员应当重点在道路运输及相关业务经营场所、客货集散地进行监督检查。</w:t>
            </w:r>
          </w:p>
        </w:tc>
        <w:tc>
          <w:tcPr>
            <w:tcW w:w="990" w:type="dxa"/>
            <w:tcBorders>
              <w:top w:val="nil"/>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18"/>
                <w:szCs w:val="18"/>
              </w:rPr>
              <w:t>现场调阅审查</w:t>
            </w:r>
          </w:p>
        </w:tc>
        <w:tc>
          <w:tcPr>
            <w:tcW w:w="159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18"/>
                <w:szCs w:val="18"/>
              </w:rPr>
              <w:t>第二、三、四季度</w:t>
            </w:r>
          </w:p>
        </w:tc>
        <w:tc>
          <w:tcPr>
            <w:tcW w:w="109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18"/>
                <w:szCs w:val="18"/>
              </w:rPr>
              <w:t>无</w:t>
            </w:r>
          </w:p>
        </w:tc>
      </w:tr>
      <w:tr>
        <w:tblPrEx>
          <w:tblCellMar>
            <w:top w:w="0" w:type="dxa"/>
            <w:left w:w="108" w:type="dxa"/>
            <w:bottom w:w="0" w:type="dxa"/>
            <w:right w:w="108" w:type="dxa"/>
          </w:tblCellMar>
        </w:tblPrEx>
        <w:trPr>
          <w:trHeight w:val="555" w:hRule="atLeast"/>
        </w:trPr>
        <w:tc>
          <w:tcPr>
            <w:tcW w:w="5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1913" w:type="dxa"/>
            <w:tcBorders>
              <w:top w:val="nil"/>
              <w:left w:val="nil"/>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18"/>
                <w:szCs w:val="18"/>
                <w:lang w:eastAsia="zh-CN"/>
              </w:rPr>
            </w:pPr>
          </w:p>
          <w:p>
            <w:pPr>
              <w:widowControl/>
              <w:jc w:val="both"/>
              <w:rPr>
                <w:rFonts w:hint="eastAsia" w:asciiTheme="minorEastAsia" w:hAnsiTheme="minorEastAsia" w:eastAsiaTheme="minorEastAsia" w:cstheme="minorEastAsia"/>
                <w:kern w:val="0"/>
                <w:sz w:val="18"/>
                <w:szCs w:val="18"/>
                <w:lang w:eastAsia="zh-CN"/>
              </w:rPr>
            </w:pPr>
          </w:p>
          <w:p>
            <w:pPr>
              <w:widowControl/>
              <w:jc w:val="both"/>
              <w:rPr>
                <w:rFonts w:hint="eastAsia" w:asciiTheme="minorEastAsia" w:hAnsiTheme="minorEastAsia" w:eastAsiaTheme="minorEastAsia" w:cstheme="minorEastAsia"/>
                <w:kern w:val="0"/>
                <w:sz w:val="18"/>
                <w:szCs w:val="18"/>
                <w:lang w:eastAsia="zh-CN"/>
              </w:rPr>
            </w:pPr>
          </w:p>
          <w:p>
            <w:pPr>
              <w:widowControl/>
              <w:jc w:val="both"/>
              <w:rPr>
                <w:rFonts w:hint="eastAsia" w:asciiTheme="minorEastAsia" w:hAnsiTheme="minorEastAsia" w:eastAsiaTheme="minorEastAsia" w:cstheme="minorEastAsia"/>
                <w:kern w:val="0"/>
                <w:sz w:val="18"/>
                <w:szCs w:val="18"/>
                <w:lang w:eastAsia="zh-CN"/>
              </w:rPr>
            </w:pPr>
          </w:p>
          <w:p>
            <w:pPr>
              <w:widowControl/>
              <w:jc w:val="both"/>
              <w:rPr>
                <w:rFonts w:hint="eastAsia" w:asciiTheme="minorEastAsia" w:hAnsiTheme="minorEastAsia" w:eastAsiaTheme="minorEastAsia" w:cstheme="minorEastAsia"/>
                <w:kern w:val="0"/>
                <w:sz w:val="18"/>
                <w:szCs w:val="18"/>
                <w:lang w:eastAsia="zh-CN"/>
              </w:rPr>
            </w:pPr>
          </w:p>
          <w:p>
            <w:pPr>
              <w:widowControl/>
              <w:jc w:val="both"/>
              <w:rPr>
                <w:rFonts w:hint="eastAsia" w:asciiTheme="minorEastAsia" w:hAnsiTheme="minorEastAsia" w:eastAsiaTheme="minorEastAsia" w:cstheme="minorEastAsia"/>
                <w:kern w:val="0"/>
                <w:sz w:val="18"/>
                <w:szCs w:val="18"/>
                <w:lang w:eastAsia="zh-CN"/>
              </w:rPr>
            </w:pPr>
          </w:p>
          <w:p>
            <w:pPr>
              <w:widowControl/>
              <w:jc w:val="both"/>
              <w:rPr>
                <w:rFonts w:hint="eastAsia" w:asciiTheme="minorEastAsia" w:hAnsiTheme="minorEastAsia" w:eastAsiaTheme="minorEastAsia" w:cstheme="minorEastAsia"/>
                <w:kern w:val="0"/>
                <w:sz w:val="18"/>
                <w:szCs w:val="18"/>
                <w:lang w:eastAsia="zh-CN"/>
              </w:rPr>
            </w:pPr>
          </w:p>
          <w:p>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金普新区交通运输局（金普新区交通运输综合行政执法队）</w:t>
            </w: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水路运输企业</w:t>
            </w:r>
          </w:p>
          <w:p>
            <w:pPr>
              <w:widowControl/>
              <w:jc w:val="center"/>
              <w:rPr>
                <w:rFonts w:hint="eastAsia" w:eastAsia="宋体" w:asciiTheme="minorEastAsia" w:hAnsiTheme="minorEastAsia" w:cstheme="minorEastAsia"/>
                <w:kern w:val="0"/>
                <w:sz w:val="18"/>
                <w:szCs w:val="18"/>
                <w:lang w:val="en-US" w:eastAsia="zh-CN"/>
              </w:rPr>
            </w:pPr>
            <w:r>
              <w:rPr>
                <w:rFonts w:hint="eastAsia" w:ascii="宋体" w:hAnsi="宋体" w:cs="宋体"/>
                <w:kern w:val="0"/>
                <w:sz w:val="18"/>
                <w:szCs w:val="18"/>
                <w:lang w:val="en-US" w:eastAsia="zh-CN"/>
              </w:rPr>
              <w:t>(</w:t>
            </w:r>
            <w:r>
              <w:rPr>
                <w:rFonts w:hint="eastAsia" w:ascii="宋体" w:hAnsi="宋体" w:cs="宋体"/>
                <w:kern w:val="0"/>
                <w:sz w:val="18"/>
                <w:szCs w:val="18"/>
              </w:rPr>
              <w:t>2家</w:t>
            </w:r>
            <w:r>
              <w:rPr>
                <w:rFonts w:hint="eastAsia" w:ascii="宋体" w:hAnsi="宋体" w:cs="宋体"/>
                <w:kern w:val="0"/>
                <w:sz w:val="18"/>
                <w:szCs w:val="18"/>
                <w:lang w:val="en-US" w:eastAsia="zh-CN"/>
              </w:rPr>
              <w:t>)</w:t>
            </w:r>
          </w:p>
        </w:tc>
        <w:tc>
          <w:tcPr>
            <w:tcW w:w="2252" w:type="dxa"/>
            <w:tcBorders>
              <w:top w:val="nil"/>
              <w:left w:val="nil"/>
              <w:bottom w:val="single" w:color="auto" w:sz="4" w:space="0"/>
              <w:right w:val="single" w:color="auto" w:sz="4" w:space="0"/>
            </w:tcBorders>
            <w:vAlign w:val="center"/>
          </w:tcPr>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宋体" w:hAnsi="宋体" w:cs="宋体"/>
                <w:kern w:val="0"/>
                <w:sz w:val="18"/>
                <w:szCs w:val="18"/>
              </w:rPr>
            </w:pPr>
          </w:p>
          <w:p>
            <w:pPr>
              <w:widowControl/>
              <w:numPr>
                <w:ilvl w:val="0"/>
                <w:numId w:val="0"/>
              </w:numPr>
              <w:jc w:val="both"/>
              <w:rPr>
                <w:rFonts w:hint="eastAsia" w:asciiTheme="minorEastAsia" w:hAnsiTheme="minorEastAsia" w:eastAsiaTheme="minorEastAsia" w:cstheme="minorEastAsia"/>
                <w:kern w:val="0"/>
                <w:sz w:val="18"/>
                <w:szCs w:val="18"/>
              </w:rPr>
            </w:pPr>
            <w:r>
              <w:rPr>
                <w:rFonts w:hint="eastAsia" w:ascii="宋体" w:hAnsi="宋体" w:cs="宋体"/>
                <w:kern w:val="0"/>
                <w:sz w:val="18"/>
                <w:szCs w:val="18"/>
              </w:rPr>
              <w:t>经营行为检查</w:t>
            </w:r>
            <w:r>
              <w:rPr>
                <w:rFonts w:hint="eastAsia" w:ascii="宋体" w:hAnsi="宋体" w:cs="宋体"/>
                <w:kern w:val="0"/>
                <w:sz w:val="18"/>
                <w:szCs w:val="18"/>
                <w:lang w:eastAsia="zh-CN"/>
              </w:rPr>
              <w:t>；</w:t>
            </w:r>
            <w:r>
              <w:rPr>
                <w:rFonts w:hint="eastAsia" w:ascii="宋体" w:hAnsi="宋体" w:cs="宋体"/>
                <w:kern w:val="0"/>
                <w:sz w:val="18"/>
                <w:szCs w:val="18"/>
              </w:rPr>
              <w:t>经营资质检查</w:t>
            </w:r>
          </w:p>
        </w:tc>
        <w:tc>
          <w:tcPr>
            <w:tcW w:w="3521" w:type="dxa"/>
            <w:tcBorders>
              <w:top w:val="nil"/>
              <w:left w:val="nil"/>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18"/>
                <w:szCs w:val="18"/>
              </w:rPr>
            </w:pPr>
            <w:r>
              <w:rPr>
                <w:rFonts w:hint="eastAsia" w:ascii="宋体" w:hAnsi="宋体" w:cs="宋体"/>
                <w:color w:val="000000"/>
                <w:kern w:val="0"/>
                <w:sz w:val="18"/>
                <w:szCs w:val="18"/>
              </w:rPr>
              <w:t>《国内水路运输管理条例》第四条　县级以上地方人民政府交通运输主管部门主管本行政区域的水路运输管理工作。县级以上地方人民政府负责水路运输管理的部门或者机构（以下统称负责水路运输管理的部门）承担本条例规定的水路运输管理工作。第五条　经营水路运输及其辅助业务，应当遵守法律、法规，诚实守信。国务院交通运输主管部门和负责水路运输管理的部门应当依法对水路运输市场实施监督管理，对水路运输及其辅助业务的违法经营活动实施处罚，并建立经营者诚信管理制度，及时向社会公告监督检查情况。</w:t>
            </w:r>
          </w:p>
        </w:tc>
        <w:tc>
          <w:tcPr>
            <w:tcW w:w="99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Theme="minorEastAsia" w:hAnsiTheme="minorEastAsia" w:eastAsiaTheme="minorEastAsia" w:cstheme="minorEastAsia"/>
                <w:kern w:val="0"/>
                <w:sz w:val="24"/>
                <w:szCs w:val="24"/>
              </w:rPr>
            </w:pPr>
            <w:r>
              <w:rPr>
                <w:rFonts w:hint="eastAsia" w:ascii="宋体" w:hAnsi="宋体" w:cs="宋体"/>
                <w:kern w:val="0"/>
                <w:sz w:val="18"/>
                <w:szCs w:val="18"/>
              </w:rPr>
              <w:t>现场调阅查阅</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Theme="minorEastAsia" w:hAnsiTheme="minorEastAsia" w:eastAsiaTheme="minorEastAsia" w:cstheme="minorEastAsia"/>
                <w:kern w:val="0"/>
                <w:sz w:val="24"/>
                <w:szCs w:val="24"/>
              </w:rPr>
            </w:pPr>
            <w:r>
              <w:rPr>
                <w:rFonts w:hint="eastAsia" w:ascii="宋体" w:hAnsi="宋体" w:cs="宋体"/>
                <w:kern w:val="0"/>
                <w:sz w:val="18"/>
                <w:szCs w:val="18"/>
              </w:rPr>
              <w:t>二季度或三季度</w:t>
            </w:r>
          </w:p>
        </w:tc>
        <w:tc>
          <w:tcPr>
            <w:tcW w:w="1095" w:type="dxa"/>
            <w:tcBorders>
              <w:top w:val="nil"/>
              <w:left w:val="nil"/>
              <w:bottom w:val="single" w:color="auto" w:sz="4" w:space="0"/>
              <w:right w:val="single" w:color="auto" w:sz="4" w:space="0"/>
            </w:tcBorders>
            <w:vAlign w:val="center"/>
          </w:tcPr>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Theme="minorEastAsia" w:hAnsiTheme="minorEastAsia" w:eastAsiaTheme="minorEastAsia" w:cstheme="minorEastAsia"/>
                <w:kern w:val="0"/>
                <w:sz w:val="24"/>
                <w:szCs w:val="24"/>
              </w:rPr>
            </w:pPr>
            <w:r>
              <w:rPr>
                <w:rFonts w:hint="eastAsia" w:ascii="宋体" w:hAnsi="宋体"/>
                <w:sz w:val="18"/>
                <w:szCs w:val="18"/>
              </w:rPr>
              <w:t>无</w:t>
            </w:r>
          </w:p>
        </w:tc>
      </w:tr>
      <w:tr>
        <w:tblPrEx>
          <w:tblCellMar>
            <w:top w:w="0" w:type="dxa"/>
            <w:left w:w="108" w:type="dxa"/>
            <w:bottom w:w="0" w:type="dxa"/>
            <w:right w:w="108" w:type="dxa"/>
          </w:tblCellMar>
        </w:tblPrEx>
        <w:trPr>
          <w:trHeight w:val="555" w:hRule="atLeast"/>
        </w:trPr>
        <w:tc>
          <w:tcPr>
            <w:tcW w:w="5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w:t>
            </w:r>
          </w:p>
        </w:tc>
        <w:tc>
          <w:tcPr>
            <w:tcW w:w="191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金普新区交通运输局（金普新区交通运输综合行政执法队）</w:t>
            </w: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船舶修造企业</w:t>
            </w:r>
          </w:p>
          <w:p>
            <w:pPr>
              <w:widowControl/>
              <w:jc w:val="center"/>
              <w:rPr>
                <w:rFonts w:hint="eastAsia" w:eastAsia="宋体" w:asciiTheme="minorEastAsia" w:hAnsiTheme="minorEastAsia" w:cstheme="minorEastAsia"/>
                <w:kern w:val="0"/>
                <w:sz w:val="18"/>
                <w:szCs w:val="18"/>
                <w:lang w:val="en-US" w:eastAsia="zh-CN"/>
              </w:rPr>
            </w:pPr>
            <w:r>
              <w:rPr>
                <w:rFonts w:hint="eastAsia" w:ascii="宋体" w:hAnsi="宋体" w:cs="宋体"/>
                <w:kern w:val="0"/>
                <w:sz w:val="18"/>
                <w:szCs w:val="18"/>
                <w:lang w:val="en-US" w:eastAsia="zh-CN"/>
              </w:rPr>
              <w:t>(</w:t>
            </w:r>
            <w:r>
              <w:rPr>
                <w:rFonts w:hint="eastAsia" w:ascii="宋体" w:hAnsi="宋体" w:cs="宋体"/>
                <w:kern w:val="0"/>
                <w:sz w:val="18"/>
                <w:szCs w:val="18"/>
              </w:rPr>
              <w:t>1家</w:t>
            </w:r>
            <w:r>
              <w:rPr>
                <w:rFonts w:hint="eastAsia" w:ascii="宋体" w:hAnsi="宋体" w:cs="宋体"/>
                <w:kern w:val="0"/>
                <w:sz w:val="18"/>
                <w:szCs w:val="18"/>
                <w:lang w:val="en-US" w:eastAsia="zh-CN"/>
              </w:rPr>
              <w:t>)</w:t>
            </w:r>
          </w:p>
        </w:tc>
        <w:tc>
          <w:tcPr>
            <w:tcW w:w="2252" w:type="dxa"/>
            <w:tcBorders>
              <w:top w:val="nil"/>
              <w:left w:val="nil"/>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18"/>
                <w:szCs w:val="18"/>
              </w:rPr>
            </w:pPr>
            <w:r>
              <w:rPr>
                <w:rFonts w:hint="eastAsia" w:ascii="宋体" w:hAnsi="宋体" w:cs="宋体"/>
                <w:color w:val="000000"/>
                <w:kern w:val="0"/>
                <w:sz w:val="18"/>
                <w:szCs w:val="18"/>
              </w:rPr>
              <w:t>安全生产保障体系是否健全，是否有重大安全事故</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危险作业人员意外伤害保险办理情况</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质量保证体系是否健全，是否有重大质量事故</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工程技术人员、技术工人的资格与配备数量是否满足类别、吨位要求</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设施、设备检测及配备情况是否满足类别、吨位要求</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是否有超范围经营，外协工程合作有无违规现象</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需持证上岗的从业人员证书是否齐全有效</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统计报表是否按时、准确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类别吨位证书、营业执照、租赁合同、劳动用工合同是否齐全、有效。</w:t>
            </w:r>
          </w:p>
        </w:tc>
        <w:tc>
          <w:tcPr>
            <w:tcW w:w="3521" w:type="dxa"/>
            <w:tcBorders>
              <w:top w:val="nil"/>
              <w:left w:val="nil"/>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18"/>
                <w:szCs w:val="18"/>
              </w:rPr>
            </w:pPr>
            <w:r>
              <w:rPr>
                <w:rFonts w:hint="eastAsia" w:ascii="宋体" w:hAnsi="宋体" w:cs="宋体"/>
                <w:color w:val="000000"/>
                <w:kern w:val="0"/>
                <w:sz w:val="18"/>
                <w:szCs w:val="18"/>
              </w:rPr>
              <w:t>《大连市船舶修理和地方船舶建造管理条例》第三条 其他县（市）、区和大连经济技术开发区船舶修造管理部门负责分管区域内航修企业和２００总吨以下船舶厂修、建造企业的监督管理工作。</w:t>
            </w:r>
          </w:p>
        </w:tc>
        <w:tc>
          <w:tcPr>
            <w:tcW w:w="99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宋体" w:hAnsi="宋体" w:cs="宋体"/>
                <w:kern w:val="0"/>
                <w:sz w:val="18"/>
                <w:szCs w:val="18"/>
              </w:rPr>
              <w:t>现场调阅查阅</w:t>
            </w:r>
          </w:p>
        </w:tc>
        <w:tc>
          <w:tcPr>
            <w:tcW w:w="159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宋体" w:hAnsi="宋体" w:cs="宋体"/>
                <w:kern w:val="0"/>
                <w:sz w:val="18"/>
                <w:szCs w:val="18"/>
              </w:rPr>
              <w:t>二季度或三季度</w:t>
            </w:r>
          </w:p>
        </w:tc>
        <w:tc>
          <w:tcPr>
            <w:tcW w:w="109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宋体" w:cs="Times New Roman"/>
                <w:kern w:val="0"/>
                <w:sz w:val="18"/>
                <w:szCs w:val="18"/>
              </w:rPr>
              <w:t>无</w:t>
            </w:r>
          </w:p>
        </w:tc>
      </w:tr>
      <w:tr>
        <w:tblPrEx>
          <w:tblCellMar>
            <w:top w:w="0" w:type="dxa"/>
            <w:left w:w="108" w:type="dxa"/>
            <w:bottom w:w="0" w:type="dxa"/>
            <w:right w:w="108" w:type="dxa"/>
          </w:tblCellMar>
        </w:tblPrEx>
        <w:trPr>
          <w:trHeight w:val="420" w:hRule="atLeast"/>
        </w:trPr>
        <w:tc>
          <w:tcPr>
            <w:tcW w:w="5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lang w:val="en-US" w:eastAsia="zh-CN"/>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lang w:val="en-US" w:eastAsia="zh-CN"/>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lang w:val="en-US" w:eastAsia="zh-CN"/>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p>
        </w:tc>
        <w:tc>
          <w:tcPr>
            <w:tcW w:w="1913"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kern w:val="0"/>
                <w:sz w:val="18"/>
                <w:szCs w:val="18"/>
                <w:lang w:eastAsia="zh-CN"/>
              </w:rPr>
            </w:pPr>
          </w:p>
          <w:p>
            <w:pPr>
              <w:widowControl/>
              <w:jc w:val="both"/>
              <w:rPr>
                <w:rFonts w:hint="eastAsia" w:ascii="宋体" w:hAnsi="宋体" w:eastAsia="宋体" w:cs="宋体"/>
                <w:kern w:val="0"/>
                <w:sz w:val="18"/>
                <w:szCs w:val="18"/>
                <w:lang w:eastAsia="zh-CN"/>
              </w:rPr>
            </w:pPr>
          </w:p>
          <w:p>
            <w:pPr>
              <w:widowControl/>
              <w:jc w:val="both"/>
              <w:rPr>
                <w:rFonts w:hint="eastAsia" w:ascii="宋体" w:hAnsi="宋体" w:eastAsia="宋体" w:cs="宋体"/>
                <w:kern w:val="0"/>
                <w:sz w:val="18"/>
                <w:szCs w:val="18"/>
                <w:lang w:eastAsia="zh-CN"/>
              </w:rPr>
            </w:pPr>
          </w:p>
          <w:p>
            <w:pPr>
              <w:widowControl/>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金普新区交通运输局（金普新区交通运输综合行政执法队）</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rPr>
            </w:pPr>
          </w:p>
          <w:p>
            <w:pPr>
              <w:keepNext w:val="0"/>
              <w:keepLines w:val="0"/>
              <w:pageBreakBefore w:val="0"/>
              <w:widowControl/>
              <w:tabs>
                <w:tab w:val="left" w:pos="231"/>
              </w:tabs>
              <w:kinsoku/>
              <w:overflowPunct/>
              <w:topLinePunct w:val="0"/>
              <w:autoSpaceDE/>
              <w:autoSpaceDN/>
              <w:bidi w:val="0"/>
              <w:adjustRightInd/>
              <w:snapToGrid/>
              <w:spacing w:line="240" w:lineRule="auto"/>
              <w:ind w:left="0" w:leftChars="0"/>
              <w:jc w:val="left"/>
              <w:textAlignment w:val="auto"/>
              <w:outlineLvl w:val="9"/>
              <w:rPr>
                <w:rFonts w:hint="eastAsia" w:ascii="宋体" w:hAnsi="宋体" w:eastAsia="宋体" w:cs="宋体"/>
                <w:kern w:val="0"/>
                <w:sz w:val="18"/>
                <w:szCs w:val="18"/>
              </w:rPr>
            </w:pPr>
            <w:r>
              <w:rPr>
                <w:rFonts w:hint="eastAsia" w:ascii="宋体" w:hAnsi="宋体" w:cs="宋体"/>
                <w:kern w:val="0"/>
                <w:sz w:val="18"/>
                <w:szCs w:val="18"/>
                <w:lang w:eastAsia="zh-CN"/>
              </w:rPr>
              <w:tab/>
            </w: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港口企业</w:t>
            </w: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kern w:val="0"/>
                <w:sz w:val="18"/>
                <w:szCs w:val="18"/>
                <w:lang w:val="en-US"/>
              </w:rPr>
            </w:pPr>
            <w:r>
              <w:rPr>
                <w:rFonts w:hint="eastAsia" w:asciiTheme="minorEastAsia" w:hAnsiTheme="minorEastAsia" w:eastAsiaTheme="minorEastAsia" w:cstheme="minorEastAsia"/>
                <w:kern w:val="0"/>
                <w:sz w:val="18"/>
                <w:szCs w:val="18"/>
                <w:lang w:val="en-US" w:eastAsia="zh-CN"/>
              </w:rPr>
              <w:t>(1家)</w:t>
            </w:r>
          </w:p>
        </w:tc>
        <w:tc>
          <w:tcPr>
            <w:tcW w:w="225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港口企业有无违规经营、超经营范围行为；是否有扰乱港口经营秩序行为；经营条件是否发生变化；是否落实安全生产主体责任；作业现场是否符合安全要求。</w:t>
            </w:r>
          </w:p>
        </w:tc>
        <w:tc>
          <w:tcPr>
            <w:tcW w:w="3521" w:type="dxa"/>
            <w:tcBorders>
              <w:top w:val="nil"/>
              <w:left w:val="nil"/>
              <w:bottom w:val="single" w:color="auto" w:sz="4" w:space="0"/>
              <w:right w:val="single" w:color="auto" w:sz="4" w:space="0"/>
            </w:tcBorders>
            <w:vAlign w:val="center"/>
          </w:tcPr>
          <w:p>
            <w:pPr>
              <w:widowControl/>
              <w:shd w:val="clear" w:color="auto" w:fill="FFFFFF"/>
              <w:rPr>
                <w:rFonts w:hint="eastAsia" w:ascii="宋体" w:hAnsi="宋体" w:eastAsia="宋体" w:cs="宋体"/>
                <w:kern w:val="0"/>
                <w:sz w:val="18"/>
                <w:szCs w:val="18"/>
              </w:rPr>
            </w:pPr>
            <w:r>
              <w:rPr>
                <w:rFonts w:hint="eastAsia" w:ascii="宋体" w:hAnsi="宋体" w:eastAsia="宋体" w:cs="宋体"/>
                <w:kern w:val="0"/>
                <w:sz w:val="18"/>
                <w:szCs w:val="18"/>
              </w:rPr>
              <w:t>《港口经营管理规定》第十二条</w:t>
            </w:r>
            <w:r>
              <w:rPr>
                <w:rFonts w:hint="eastAsia" w:ascii="宋体" w:hAnsi="宋体" w:eastAsia="宋体" w:cs="宋体"/>
                <w:color w:val="333333"/>
                <w:spacing w:val="8"/>
                <w:kern w:val="0"/>
                <w:sz w:val="18"/>
                <w:szCs w:val="18"/>
              </w:rPr>
              <w:t>港口经营人应当按照港口行政管理部门许可的经营范围从事港口经营活动。第二十一条 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第三十一条  港口经营人、港口理货业务经营人以及从事船舶港口服务的经营人应当遵守国家有关港口经营价格和收费的规定，应当在其经营场所公布经营服务收费项目和收费标准，并通过多种渠道公开，使用国家规定的港口经营票据。第四十二条 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p>
        </w:tc>
        <w:tc>
          <w:tcPr>
            <w:tcW w:w="9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现场调阅审查</w:t>
            </w: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第四季度</w:t>
            </w:r>
          </w:p>
        </w:tc>
        <w:tc>
          <w:tcPr>
            <w:tcW w:w="1095"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kern w:val="0"/>
                <w:sz w:val="18"/>
                <w:szCs w:val="18"/>
                <w:lang w:val="en-US" w:eastAsia="zh-CN"/>
              </w:rPr>
            </w:pPr>
            <w:r>
              <w:rPr>
                <w:rFonts w:hint="eastAsia" w:ascii="宋体" w:cs="Times New Roman"/>
                <w:kern w:val="0"/>
                <w:sz w:val="18"/>
                <w:szCs w:val="18"/>
              </w:rPr>
              <w:t>无</w:t>
            </w:r>
          </w:p>
        </w:tc>
      </w:tr>
    </w:tbl>
    <w:p>
      <w:pPr>
        <w:keepNext w:val="0"/>
        <w:keepLines w:val="0"/>
        <w:pageBreakBefore w:val="0"/>
        <w:kinsoku/>
        <w:wordWrap/>
        <w:overflowPunct/>
        <w:topLinePunct w:val="0"/>
        <w:autoSpaceDE/>
        <w:autoSpaceDN/>
        <w:bidi w:val="0"/>
        <w:adjustRightInd/>
        <w:snapToGrid/>
        <w:spacing w:line="480" w:lineRule="exact"/>
        <w:ind w:left="0" w:leftChars="0" w:right="64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lang w:val="en-US" w:eastAsia="zh-CN"/>
        </w:rPr>
        <w:t xml:space="preserve"> </w:t>
      </w:r>
    </w:p>
    <w:sectPr>
      <w:footerReference r:id="rId3" w:type="default"/>
      <w:pgSz w:w="16838" w:h="11906" w:orient="landscape"/>
      <w:pgMar w:top="1797" w:right="1440" w:bottom="1797" w:left="1440" w:header="851" w:footer="992" w:gutter="0"/>
      <w:pgNumType w:fmt="numberInDash"/>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56"/>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ODkxYzZlNTIyMWRhMTgyOTcxODUxOWI0MzE5NDMifQ=="/>
  </w:docVars>
  <w:rsids>
    <w:rsidRoot w:val="00B470F8"/>
    <w:rsid w:val="000146B6"/>
    <w:rsid w:val="00015498"/>
    <w:rsid w:val="00016200"/>
    <w:rsid w:val="000360D6"/>
    <w:rsid w:val="00065002"/>
    <w:rsid w:val="001379D3"/>
    <w:rsid w:val="0017271C"/>
    <w:rsid w:val="001D2D3A"/>
    <w:rsid w:val="001E181E"/>
    <w:rsid w:val="00265028"/>
    <w:rsid w:val="00267C09"/>
    <w:rsid w:val="0029106C"/>
    <w:rsid w:val="002F2B48"/>
    <w:rsid w:val="00390573"/>
    <w:rsid w:val="003952E1"/>
    <w:rsid w:val="003B09CF"/>
    <w:rsid w:val="003F2D41"/>
    <w:rsid w:val="00434F10"/>
    <w:rsid w:val="00477D7D"/>
    <w:rsid w:val="00517009"/>
    <w:rsid w:val="0053540E"/>
    <w:rsid w:val="00580F5D"/>
    <w:rsid w:val="005870F2"/>
    <w:rsid w:val="00606A2F"/>
    <w:rsid w:val="00666D93"/>
    <w:rsid w:val="0068458B"/>
    <w:rsid w:val="006A2F1C"/>
    <w:rsid w:val="006A54DB"/>
    <w:rsid w:val="006B5070"/>
    <w:rsid w:val="006E24AA"/>
    <w:rsid w:val="00766D3C"/>
    <w:rsid w:val="007C4B0B"/>
    <w:rsid w:val="007E728A"/>
    <w:rsid w:val="007F5136"/>
    <w:rsid w:val="00807F73"/>
    <w:rsid w:val="00833182"/>
    <w:rsid w:val="008639AC"/>
    <w:rsid w:val="00866F56"/>
    <w:rsid w:val="008A1052"/>
    <w:rsid w:val="008B5C6A"/>
    <w:rsid w:val="008F4462"/>
    <w:rsid w:val="0094232F"/>
    <w:rsid w:val="0095776D"/>
    <w:rsid w:val="00961B24"/>
    <w:rsid w:val="0096615D"/>
    <w:rsid w:val="00996CCD"/>
    <w:rsid w:val="009C2405"/>
    <w:rsid w:val="009D2EDD"/>
    <w:rsid w:val="009E4DAE"/>
    <w:rsid w:val="00A31F1D"/>
    <w:rsid w:val="00A42F9C"/>
    <w:rsid w:val="00A845F7"/>
    <w:rsid w:val="00B037A3"/>
    <w:rsid w:val="00B1601B"/>
    <w:rsid w:val="00B470F8"/>
    <w:rsid w:val="00B82BF1"/>
    <w:rsid w:val="00BA7358"/>
    <w:rsid w:val="00BB1490"/>
    <w:rsid w:val="00BC0582"/>
    <w:rsid w:val="00C67395"/>
    <w:rsid w:val="00C84C9C"/>
    <w:rsid w:val="00CD02BD"/>
    <w:rsid w:val="00CF3CBA"/>
    <w:rsid w:val="00CF7310"/>
    <w:rsid w:val="00D84171"/>
    <w:rsid w:val="00E15248"/>
    <w:rsid w:val="00E25195"/>
    <w:rsid w:val="00E42525"/>
    <w:rsid w:val="00E45772"/>
    <w:rsid w:val="00E60500"/>
    <w:rsid w:val="00E735F8"/>
    <w:rsid w:val="00E829FC"/>
    <w:rsid w:val="00EF13AE"/>
    <w:rsid w:val="00EF3269"/>
    <w:rsid w:val="00F25CD8"/>
    <w:rsid w:val="00F446C0"/>
    <w:rsid w:val="00FB4D47"/>
    <w:rsid w:val="00FC6C40"/>
    <w:rsid w:val="00FD55CF"/>
    <w:rsid w:val="03171023"/>
    <w:rsid w:val="13BF4674"/>
    <w:rsid w:val="18664AF3"/>
    <w:rsid w:val="18A77E3E"/>
    <w:rsid w:val="1B1978E3"/>
    <w:rsid w:val="24580B20"/>
    <w:rsid w:val="2A2F74A1"/>
    <w:rsid w:val="2D4B1EA7"/>
    <w:rsid w:val="35D33E92"/>
    <w:rsid w:val="362C584D"/>
    <w:rsid w:val="3A890CDB"/>
    <w:rsid w:val="42C63948"/>
    <w:rsid w:val="48BE01CD"/>
    <w:rsid w:val="4D114ED5"/>
    <w:rsid w:val="4F7F135A"/>
    <w:rsid w:val="5A836DD4"/>
    <w:rsid w:val="5C922787"/>
    <w:rsid w:val="5ECA0B62"/>
    <w:rsid w:val="657B037A"/>
    <w:rsid w:val="6ABB4BB3"/>
    <w:rsid w:val="6CF7046B"/>
    <w:rsid w:val="70074D61"/>
    <w:rsid w:val="72E11AED"/>
    <w:rsid w:val="77187C65"/>
    <w:rsid w:val="782420C1"/>
    <w:rsid w:val="7EEF2710"/>
    <w:rsid w:val="7FF63C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21"/>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HTML Address"/>
    <w:basedOn w:val="1"/>
    <w:qFormat/>
    <w:uiPriority w:val="0"/>
    <w:rPr>
      <w:i/>
      <w:iCs/>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basedOn w:val="7"/>
    <w:qFormat/>
    <w:uiPriority w:val="99"/>
    <w:rPr>
      <w:color w:val="0000FF"/>
      <w:u w:val="single"/>
    </w:rPr>
  </w:style>
  <w:style w:type="paragraph" w:customStyle="1" w:styleId="10">
    <w:name w:val="Revision"/>
    <w:hidden/>
    <w:semiHidden/>
    <w:qFormat/>
    <w:uiPriority w:val="99"/>
    <w:rPr>
      <w:rFonts w:ascii="Calibri" w:hAnsi="Calibri" w:eastAsia="宋体" w:cs="Calibri"/>
      <w:kern w:val="2"/>
      <w:sz w:val="21"/>
      <w:szCs w:val="21"/>
      <w:lang w:val="en-US" w:eastAsia="zh-CN" w:bidi="ar-SA"/>
    </w:rPr>
  </w:style>
  <w:style w:type="character" w:customStyle="1" w:styleId="11">
    <w:name w:val="Balloon Text Char"/>
    <w:basedOn w:val="7"/>
    <w:link w:val="3"/>
    <w:semiHidden/>
    <w:qFormat/>
    <w:locked/>
    <w:uiPriority w:val="99"/>
    <w:rPr>
      <w:rFonts w:ascii="Calibri" w:hAnsi="Calibri" w:eastAsia="宋体" w:cs="Calibri"/>
      <w:sz w:val="18"/>
      <w:szCs w:val="18"/>
    </w:rPr>
  </w:style>
  <w:style w:type="character" w:customStyle="1" w:styleId="12">
    <w:name w:val="Footer Char"/>
    <w:basedOn w:val="7"/>
    <w:link w:val="4"/>
    <w:qFormat/>
    <w:locked/>
    <w:uiPriority w:val="99"/>
    <w:rPr>
      <w:sz w:val="18"/>
      <w:szCs w:val="18"/>
    </w:rPr>
  </w:style>
  <w:style w:type="character" w:customStyle="1" w:styleId="13">
    <w:name w:val="Header Char"/>
    <w:basedOn w:val="7"/>
    <w:link w:val="5"/>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3</Pages>
  <Words>1471</Words>
  <Characters>1478</Characters>
  <Lines>0</Lines>
  <Paragraphs>0</Paragraphs>
  <TotalTime>49</TotalTime>
  <ScaleCrop>false</ScaleCrop>
  <LinksUpToDate>false</LinksUpToDate>
  <CharactersWithSpaces>1492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2019-04-17T03:10:00Z</dcterms:created>
  <dc:creator>dashu</dc:creator>
  <cp:lastModifiedBy>云朵儿</cp:lastModifiedBy>
  <cp:lastPrinted>2022-01-10T07:53:00Z</cp:lastPrinted>
  <dcterms:modified xsi:type="dcterms:W3CDTF">2022-11-16T06:21:39Z</dcterms:modified>
  <dc:title>大司法办〔2019〕 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72073BBC4717465085DED1D740951572</vt:lpwstr>
  </property>
</Properties>
</file>