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E8737D6">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王国庆</w:t>
      </w:r>
    </w:p>
    <w:p w14:paraId="4CC2BF5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zh-CN"/>
        </w:rPr>
        <w:t>220723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1219</w:t>
      </w:r>
    </w:p>
    <w:p w14:paraId="5B487F67">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val="zh-CN"/>
        </w:rPr>
        <w:t>吉林省乾安县余字乡张字村</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大连汇通建筑工程有限公司虚构劳动关系，违规领取失业保险待遇20097.5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违规领取（骗取）的失业保险待遇20097.5元。本决定自送达当事人时发生法律效力。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09714689"/>
    <w:rsid w:val="109A08B3"/>
    <w:rsid w:val="1353099B"/>
    <w:rsid w:val="13F46EEA"/>
    <w:rsid w:val="20231E43"/>
    <w:rsid w:val="25333EFF"/>
    <w:rsid w:val="284F258B"/>
    <w:rsid w:val="2E870247"/>
    <w:rsid w:val="2EBC0FAA"/>
    <w:rsid w:val="2F495AAB"/>
    <w:rsid w:val="34226D15"/>
    <w:rsid w:val="345A4CEE"/>
    <w:rsid w:val="3D394BF5"/>
    <w:rsid w:val="44193849"/>
    <w:rsid w:val="4CBC4F59"/>
    <w:rsid w:val="50DC3D36"/>
    <w:rsid w:val="54F0197D"/>
    <w:rsid w:val="65A945F9"/>
    <w:rsid w:val="68CC2B67"/>
    <w:rsid w:val="6A2D5BAD"/>
    <w:rsid w:val="6EE52B69"/>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1072</Words>
  <Characters>1193</Characters>
  <Lines>6</Lines>
  <Paragraphs>1</Paragraphs>
  <TotalTime>0</TotalTime>
  <ScaleCrop>false</ScaleCrop>
  <LinksUpToDate>false</LinksUpToDate>
  <CharactersWithSpaces>1207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2025-05-22T02:42:51Z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EA6682E4C5E647E69C26F6945067C4F6_13</vt:lpwstr>
  </property>
</Properties>
</file>