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大金普人社理字〔2024〕SY172号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张徽</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152123******0039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内蒙古自治区莫力达瓦达斡尔族自治旗尼尔基镇纳文东大街60号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2023年2月至2025年1月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15471.00元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〔2024〕SY172</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2023年2月至2025年1月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15471.00元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B5E4A73"/>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30</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2025-05-20T07:59:21Z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