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s="Times New Roman"/>
          <w:color w:val="444444"/>
          <w:kern w:val="0"/>
          <w:sz w:val="44"/>
          <w:szCs w:val="44"/>
        </w:rPr>
      </w:pPr>
      <w:r>
        <w:rPr>
          <w:rFonts w:hint="eastAsia" w:ascii="方正小标宋简体" w:hAnsi="仿宋" w:eastAsia="方正小标宋简体" w:cs="Times New Roman"/>
          <w:color w:val="444444"/>
          <w:kern w:val="0"/>
          <w:sz w:val="44"/>
          <w:szCs w:val="44"/>
        </w:rPr>
        <w:t>大连金普新区发展和改革局</w:t>
      </w:r>
    </w:p>
    <w:p>
      <w:pPr>
        <w:jc w:val="center"/>
        <w:rPr>
          <w:rFonts w:ascii="方正小标宋简体" w:hAnsi="仿宋" w:eastAsia="方正小标宋简体" w:cs="Times New Roman"/>
          <w:color w:val="444444"/>
          <w:kern w:val="0"/>
          <w:sz w:val="44"/>
          <w:szCs w:val="44"/>
        </w:rPr>
      </w:pPr>
      <w:r>
        <w:rPr>
          <w:rFonts w:hint="eastAsia" w:ascii="方正小标宋简体" w:hAnsi="仿宋" w:eastAsia="方正小标宋简体" w:cs="Times New Roman"/>
          <w:color w:val="444444"/>
          <w:kern w:val="0"/>
          <w:sz w:val="44"/>
          <w:szCs w:val="44"/>
        </w:rPr>
        <w:t>重大行政执法决定法制审核目录清单</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851"/>
        <w:gridCol w:w="1276"/>
        <w:gridCol w:w="55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4" w:hRule="atLeast"/>
        </w:trPr>
        <w:tc>
          <w:tcPr>
            <w:tcW w:w="675" w:type="dxa"/>
            <w:vAlign w:val="center"/>
          </w:tcPr>
          <w:p>
            <w:pPr>
              <w:jc w:val="center"/>
              <w:rPr>
                <w:rFonts w:ascii="Times New Roman" w:hAnsi="Times New Roman" w:eastAsia="仿宋" w:cs="Times New Roman"/>
                <w:sz w:val="32"/>
                <w:szCs w:val="32"/>
              </w:rPr>
            </w:pPr>
            <w:r>
              <w:rPr>
                <w:rFonts w:hint="eastAsia"/>
                <w:b/>
                <w:bCs/>
                <w:color w:val="444444"/>
                <w:sz w:val="28"/>
                <w:szCs w:val="28"/>
                <w:shd w:val="clear" w:color="auto" w:fill="FFFFFF"/>
              </w:rPr>
              <w:t>序号</w:t>
            </w:r>
          </w:p>
        </w:tc>
        <w:tc>
          <w:tcPr>
            <w:tcW w:w="851" w:type="dxa"/>
            <w:vAlign w:val="center"/>
          </w:tcPr>
          <w:p>
            <w:pPr>
              <w:jc w:val="center"/>
              <w:rPr>
                <w:rFonts w:ascii="Times New Roman" w:hAnsi="Times New Roman" w:eastAsia="仿宋" w:cs="Times New Roman"/>
                <w:sz w:val="32"/>
                <w:szCs w:val="32"/>
              </w:rPr>
            </w:pPr>
            <w:r>
              <w:rPr>
                <w:rFonts w:hint="eastAsia"/>
                <w:b/>
                <w:bCs/>
                <w:color w:val="444444"/>
                <w:sz w:val="28"/>
                <w:szCs w:val="28"/>
                <w:shd w:val="clear" w:color="auto" w:fill="FFFFFF"/>
              </w:rPr>
              <w:t>行政执法类别</w:t>
            </w:r>
          </w:p>
        </w:tc>
        <w:tc>
          <w:tcPr>
            <w:tcW w:w="1276" w:type="dxa"/>
            <w:vAlign w:val="center"/>
          </w:tcPr>
          <w:p>
            <w:pPr>
              <w:jc w:val="center"/>
              <w:rPr>
                <w:rFonts w:ascii="Times New Roman" w:hAnsi="Times New Roman" w:eastAsia="仿宋" w:cs="Times New Roman"/>
                <w:sz w:val="32"/>
                <w:szCs w:val="32"/>
              </w:rPr>
            </w:pPr>
            <w:r>
              <w:rPr>
                <w:rFonts w:hint="eastAsia"/>
                <w:b/>
                <w:bCs/>
                <w:color w:val="444444"/>
                <w:sz w:val="28"/>
                <w:szCs w:val="28"/>
                <w:shd w:val="clear" w:color="auto" w:fill="FFFFFF"/>
              </w:rPr>
              <w:t>事 项 名 称</w:t>
            </w:r>
          </w:p>
        </w:tc>
        <w:tc>
          <w:tcPr>
            <w:tcW w:w="5528" w:type="dxa"/>
            <w:vAlign w:val="center"/>
          </w:tcPr>
          <w:p>
            <w:pPr>
              <w:jc w:val="center"/>
              <w:rPr>
                <w:b/>
                <w:bCs/>
                <w:color w:val="444444"/>
                <w:sz w:val="28"/>
                <w:szCs w:val="28"/>
                <w:shd w:val="clear" w:color="auto" w:fill="FFFFFF"/>
              </w:rPr>
            </w:pPr>
            <w:r>
              <w:rPr>
                <w:rFonts w:hint="eastAsia"/>
                <w:b/>
                <w:bCs/>
                <w:color w:val="444444"/>
                <w:sz w:val="28"/>
                <w:szCs w:val="28"/>
                <w:shd w:val="clear" w:color="auto" w:fill="FFFFFF"/>
              </w:rPr>
              <w:t>需进行重大行政执法决定</w:t>
            </w:r>
          </w:p>
          <w:p>
            <w:pPr>
              <w:jc w:val="center"/>
              <w:rPr>
                <w:rFonts w:ascii="Times New Roman" w:hAnsi="Times New Roman" w:eastAsia="仿宋" w:cs="Times New Roman"/>
                <w:sz w:val="32"/>
                <w:szCs w:val="32"/>
              </w:rPr>
            </w:pPr>
            <w:r>
              <w:rPr>
                <w:rFonts w:hint="eastAsia"/>
                <w:b/>
                <w:bCs/>
                <w:color w:val="444444"/>
                <w:sz w:val="28"/>
                <w:szCs w:val="28"/>
                <w:shd w:val="clear" w:color="auto" w:fill="FFFFFF"/>
              </w:rPr>
              <w:t>法制审核的范围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6" w:hRule="atLeast"/>
        </w:trPr>
        <w:tc>
          <w:tcPr>
            <w:tcW w:w="6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w:t>
            </w:r>
          </w:p>
        </w:tc>
        <w:tc>
          <w:tcPr>
            <w:tcW w:w="851" w:type="dxa"/>
            <w:vAlign w:val="center"/>
          </w:tcPr>
          <w:p>
            <w:pPr>
              <w:jc w:val="center"/>
              <w:rPr>
                <w:rFonts w:ascii="仿宋" w:hAnsi="仿宋" w:eastAsia="仿宋" w:cs="Times New Roman"/>
                <w:sz w:val="28"/>
                <w:szCs w:val="28"/>
              </w:rPr>
            </w:pPr>
            <w:r>
              <w:rPr>
                <w:rFonts w:hint="eastAsia" w:ascii="仿宋" w:hAnsi="仿宋" w:eastAsia="仿宋"/>
                <w:color w:val="444444"/>
                <w:sz w:val="28"/>
                <w:szCs w:val="28"/>
                <w:shd w:val="clear" w:color="auto" w:fill="FFFFFF"/>
              </w:rPr>
              <w:t>行政许可</w:t>
            </w:r>
          </w:p>
        </w:tc>
        <w:tc>
          <w:tcPr>
            <w:tcW w:w="1276" w:type="dxa"/>
          </w:tcPr>
          <w:p>
            <w:pPr>
              <w:widowControl/>
              <w:shd w:val="clear" w:color="auto" w:fill="FFFFFF"/>
              <w:jc w:val="left"/>
              <w:rPr>
                <w:rFonts w:ascii="仿宋" w:hAnsi="仿宋" w:eastAsia="仿宋" w:cs="宋体"/>
                <w:color w:val="444444"/>
                <w:kern w:val="0"/>
                <w:sz w:val="24"/>
                <w:szCs w:val="24"/>
              </w:rPr>
            </w:pPr>
            <w:r>
              <w:fldChar w:fldCharType="begin"/>
            </w:r>
            <w:r>
              <w:instrText xml:space="preserve"> HYPERLINK "https://59.197.165.3/lnqlk/epointqlk/audititem/basic/void(0)" </w:instrText>
            </w:r>
            <w:r>
              <w:fldChar w:fldCharType="separate"/>
            </w:r>
            <w:r>
              <w:rPr>
                <w:rFonts w:ascii="仿宋" w:hAnsi="仿宋" w:eastAsia="仿宋" w:cs="宋体"/>
                <w:color w:val="444444"/>
                <w:kern w:val="0"/>
                <w:sz w:val="24"/>
                <w:szCs w:val="24"/>
              </w:rPr>
              <w:t>企业、事业单位、社会团体等投资建设的固定资产投资项目核准</w:t>
            </w:r>
            <w:r>
              <w:rPr>
                <w:rFonts w:ascii="仿宋" w:hAnsi="仿宋" w:eastAsia="仿宋" w:cs="宋体"/>
                <w:color w:val="444444"/>
                <w:kern w:val="0"/>
                <w:sz w:val="24"/>
                <w:szCs w:val="24"/>
              </w:rPr>
              <w:fldChar w:fldCharType="end"/>
            </w:r>
          </w:p>
        </w:tc>
        <w:tc>
          <w:tcPr>
            <w:tcW w:w="5528" w:type="dxa"/>
          </w:tcPr>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1.涉及重大公共利益、可能造成重大社会影响或引发社会风险的</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2.直接关系行政相对人或第三人重大利益的</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3.需经听证程序做出行政许可决定的</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4.情况疑难复杂，涉及多个法律关系的</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5.撤回、撤销行政许可决定的</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6.其他法律、法规、规章规定应当进行法制审核的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7" w:hRule="atLeast"/>
        </w:trPr>
        <w:tc>
          <w:tcPr>
            <w:tcW w:w="675" w:type="dxa"/>
            <w:vAlign w:val="center"/>
          </w:tcPr>
          <w:p>
            <w:pPr>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w:t>
            </w:r>
          </w:p>
        </w:tc>
        <w:tc>
          <w:tcPr>
            <w:tcW w:w="851" w:type="dxa"/>
            <w:vAlign w:val="center"/>
          </w:tcPr>
          <w:p>
            <w:pPr>
              <w:jc w:val="center"/>
              <w:rPr>
                <w:rFonts w:ascii="仿宋" w:hAnsi="仿宋" w:eastAsia="仿宋" w:cs="Times New Roman"/>
                <w:sz w:val="28"/>
                <w:szCs w:val="28"/>
              </w:rPr>
            </w:pPr>
            <w:r>
              <w:rPr>
                <w:rFonts w:hint="eastAsia" w:ascii="仿宋" w:hAnsi="仿宋" w:eastAsia="仿宋"/>
                <w:color w:val="444444"/>
                <w:sz w:val="28"/>
                <w:szCs w:val="28"/>
                <w:shd w:val="clear" w:color="auto" w:fill="FFFFFF"/>
              </w:rPr>
              <w:t>行政许可</w:t>
            </w:r>
          </w:p>
        </w:tc>
        <w:tc>
          <w:tcPr>
            <w:tcW w:w="1276" w:type="dxa"/>
          </w:tcPr>
          <w:p>
            <w:pPr>
              <w:widowControl/>
              <w:shd w:val="clear" w:color="auto" w:fill="FFFFFF"/>
              <w:jc w:val="left"/>
              <w:rPr>
                <w:rFonts w:ascii="仿宋" w:hAnsi="仿宋" w:eastAsia="仿宋" w:cs="宋体"/>
                <w:color w:val="444444"/>
                <w:kern w:val="0"/>
                <w:sz w:val="24"/>
                <w:szCs w:val="24"/>
              </w:rPr>
            </w:pPr>
            <w:r>
              <w:fldChar w:fldCharType="begin"/>
            </w:r>
            <w:r>
              <w:instrText xml:space="preserve"> HYPERLINK "https://59.197.165.3/lnqlk/epointqlk/audititem/basic/void(0)" </w:instrText>
            </w:r>
            <w:r>
              <w:fldChar w:fldCharType="separate"/>
            </w:r>
            <w:r>
              <w:rPr>
                <w:rFonts w:ascii="仿宋" w:hAnsi="仿宋" w:eastAsia="仿宋" w:cs="宋体"/>
                <w:color w:val="444444"/>
                <w:kern w:val="0"/>
                <w:sz w:val="24"/>
                <w:szCs w:val="24"/>
              </w:rPr>
              <w:t>石油天然气管道保护范围内特定施工作业许可</w:t>
            </w:r>
            <w:r>
              <w:rPr>
                <w:rFonts w:ascii="仿宋" w:hAnsi="仿宋" w:eastAsia="仿宋" w:cs="宋体"/>
                <w:color w:val="444444"/>
                <w:kern w:val="0"/>
                <w:sz w:val="24"/>
                <w:szCs w:val="24"/>
              </w:rPr>
              <w:fldChar w:fldCharType="end"/>
            </w:r>
          </w:p>
        </w:tc>
        <w:tc>
          <w:tcPr>
            <w:tcW w:w="5528" w:type="dxa"/>
          </w:tcPr>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1.涉及重大公共利益、可能造成重大社会影响或引发社会风险的2.直接关系行政相对人或第三人重大利益的</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3.需经听证程序做出行政许可决定的</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4.情况疑难复杂，涉及多个法律关系的</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5.撤回、撤销行政许可决定的</w:t>
            </w:r>
          </w:p>
          <w:p>
            <w:pPr>
              <w:rPr>
                <w:rFonts w:ascii="仿宋" w:hAnsi="仿宋" w:eastAsia="仿宋" w:cs="宋体"/>
                <w:color w:val="444444"/>
                <w:kern w:val="0"/>
                <w:sz w:val="24"/>
                <w:szCs w:val="24"/>
              </w:rPr>
            </w:pPr>
            <w:r>
              <w:rPr>
                <w:rFonts w:hint="eastAsia" w:ascii="仿宋" w:hAnsi="仿宋" w:eastAsia="仿宋" w:cs="宋体"/>
                <w:color w:val="444444"/>
                <w:kern w:val="0"/>
                <w:sz w:val="24"/>
                <w:szCs w:val="24"/>
              </w:rPr>
              <w:t>6.其他法律、法规、规章规定应当进行法制审核的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7" w:hRule="atLeast"/>
        </w:trPr>
        <w:tc>
          <w:tcPr>
            <w:tcW w:w="675" w:type="dxa"/>
            <w:vAlign w:val="center"/>
          </w:tcPr>
          <w:p>
            <w:pPr>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3</w:t>
            </w:r>
          </w:p>
        </w:tc>
        <w:tc>
          <w:tcPr>
            <w:tcW w:w="851" w:type="dxa"/>
            <w:vAlign w:val="center"/>
          </w:tcPr>
          <w:p>
            <w:pPr>
              <w:jc w:val="center"/>
              <w:rPr>
                <w:rFonts w:ascii="仿宋" w:hAnsi="仿宋" w:eastAsia="仿宋" w:cs="Times New Roman"/>
                <w:sz w:val="28"/>
                <w:szCs w:val="28"/>
              </w:rPr>
            </w:pPr>
            <w:r>
              <w:rPr>
                <w:rFonts w:hint="eastAsia" w:ascii="仿宋" w:hAnsi="仿宋" w:eastAsia="仿宋"/>
                <w:color w:val="444444"/>
                <w:sz w:val="28"/>
                <w:szCs w:val="28"/>
                <w:shd w:val="clear" w:color="auto" w:fill="FFFFFF"/>
              </w:rPr>
              <w:t>行政处罚</w:t>
            </w:r>
          </w:p>
        </w:tc>
        <w:tc>
          <w:tcPr>
            <w:tcW w:w="1276" w:type="dxa"/>
          </w:tcPr>
          <w:p>
            <w:pPr>
              <w:widowControl/>
              <w:shd w:val="clear" w:color="auto" w:fill="FFFFFF"/>
              <w:jc w:val="left"/>
              <w:rPr>
                <w:rFonts w:ascii="仿宋" w:hAnsi="仿宋" w:eastAsia="仿宋" w:cs="宋体"/>
                <w:color w:val="444444"/>
                <w:kern w:val="0"/>
                <w:sz w:val="24"/>
                <w:szCs w:val="24"/>
              </w:rPr>
            </w:pPr>
            <w:r>
              <w:fldChar w:fldCharType="begin"/>
            </w:r>
            <w:r>
              <w:instrText xml:space="preserve"> HYPERLINK "https://59.197.165.3/lnqlk/epointqlk/audititem/daibeian/void(0)" </w:instrText>
            </w:r>
            <w:r>
              <w:fldChar w:fldCharType="separate"/>
            </w:r>
            <w:r>
              <w:rPr>
                <w:rFonts w:ascii="仿宋" w:hAnsi="仿宋" w:eastAsia="仿宋" w:cs="宋体"/>
                <w:color w:val="444444"/>
                <w:kern w:val="0"/>
                <w:sz w:val="24"/>
                <w:szCs w:val="24"/>
              </w:rPr>
              <w:t>对违反《中华人民共和国石油天然气管道保护法》行为的处罚</w:t>
            </w:r>
            <w:r>
              <w:rPr>
                <w:rFonts w:ascii="仿宋" w:hAnsi="仿宋" w:eastAsia="仿宋" w:cs="宋体"/>
                <w:color w:val="444444"/>
                <w:kern w:val="0"/>
                <w:sz w:val="24"/>
                <w:szCs w:val="24"/>
              </w:rPr>
              <w:fldChar w:fldCharType="end"/>
            </w:r>
          </w:p>
        </w:tc>
        <w:tc>
          <w:tcPr>
            <w:tcW w:w="5528" w:type="dxa"/>
          </w:tcPr>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1.需经听证程序做出的</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2.情况疑难复杂，涉及多个法律关系的</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3.对公民处以罚款和没收违法所得或者没收非法财物1万元以上</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4.对法人或者其他组织处除依法适用简易程序实施的行政处罚以外的全部行政处罚</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5.其他法律、法规、规章规定应当进行法制审核的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2" w:hRule="atLeast"/>
        </w:trPr>
        <w:tc>
          <w:tcPr>
            <w:tcW w:w="675" w:type="dxa"/>
            <w:vAlign w:val="center"/>
          </w:tcPr>
          <w:p>
            <w:pPr>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4</w:t>
            </w:r>
          </w:p>
        </w:tc>
        <w:tc>
          <w:tcPr>
            <w:tcW w:w="851" w:type="dxa"/>
            <w:vAlign w:val="center"/>
          </w:tcPr>
          <w:p>
            <w:pPr>
              <w:jc w:val="center"/>
              <w:rPr>
                <w:rFonts w:ascii="仿宋" w:hAnsi="仿宋" w:eastAsia="仿宋" w:cs="Times New Roman"/>
                <w:sz w:val="28"/>
                <w:szCs w:val="28"/>
              </w:rPr>
            </w:pPr>
            <w:r>
              <w:rPr>
                <w:rFonts w:hint="eastAsia" w:ascii="仿宋" w:hAnsi="仿宋" w:eastAsia="仿宋"/>
                <w:color w:val="444444"/>
                <w:sz w:val="28"/>
                <w:szCs w:val="28"/>
                <w:shd w:val="clear" w:color="auto" w:fill="FFFFFF"/>
              </w:rPr>
              <w:t>行政处罚</w:t>
            </w:r>
          </w:p>
        </w:tc>
        <w:tc>
          <w:tcPr>
            <w:tcW w:w="1276" w:type="dxa"/>
          </w:tcPr>
          <w:p>
            <w:pPr>
              <w:widowControl/>
              <w:shd w:val="clear" w:color="auto" w:fill="FFFFFF"/>
              <w:jc w:val="left"/>
              <w:rPr>
                <w:rFonts w:ascii="仿宋" w:hAnsi="仿宋" w:eastAsia="仿宋" w:cs="宋体"/>
                <w:color w:val="444444"/>
                <w:kern w:val="0"/>
                <w:sz w:val="24"/>
                <w:szCs w:val="24"/>
              </w:rPr>
            </w:pPr>
            <w:r>
              <w:fldChar w:fldCharType="begin"/>
            </w:r>
            <w:r>
              <w:instrText xml:space="preserve"> HYPERLINK "https://59.197.165.3/lnqlk/epointqlk/audititem/daibeian/void(0)" </w:instrText>
            </w:r>
            <w:r>
              <w:fldChar w:fldCharType="separate"/>
            </w:r>
            <w:r>
              <w:rPr>
                <w:rFonts w:ascii="仿宋" w:hAnsi="仿宋" w:eastAsia="仿宋" w:cs="宋体"/>
                <w:color w:val="444444"/>
                <w:kern w:val="0"/>
                <w:sz w:val="24"/>
                <w:szCs w:val="24"/>
              </w:rPr>
              <w:t>对违反《企业投资项目核准和备案管理条例》行为的处罚</w:t>
            </w:r>
            <w:r>
              <w:rPr>
                <w:rFonts w:ascii="仿宋" w:hAnsi="仿宋" w:eastAsia="仿宋" w:cs="宋体"/>
                <w:color w:val="444444"/>
                <w:kern w:val="0"/>
                <w:sz w:val="24"/>
                <w:szCs w:val="24"/>
              </w:rPr>
              <w:fldChar w:fldCharType="end"/>
            </w:r>
          </w:p>
        </w:tc>
        <w:tc>
          <w:tcPr>
            <w:tcW w:w="5528" w:type="dxa"/>
          </w:tcPr>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1.需经听证程序做出的</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2.情况疑难复杂，涉及多个法律关系的</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3.对公民处以罚款和没收违法所得或者没收非法财物1万元以上</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4.对法人或者其他组织处除依法适用简易程序实施的行政处罚以外的全部行政处罚</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5.其他法律、法规、规章规定应当进行法制审核的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0" w:hRule="atLeast"/>
        </w:trPr>
        <w:tc>
          <w:tcPr>
            <w:tcW w:w="675" w:type="dxa"/>
            <w:vAlign w:val="center"/>
          </w:tcPr>
          <w:p>
            <w:pPr>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5</w:t>
            </w:r>
          </w:p>
        </w:tc>
        <w:tc>
          <w:tcPr>
            <w:tcW w:w="851" w:type="dxa"/>
            <w:vAlign w:val="center"/>
          </w:tcPr>
          <w:p>
            <w:pPr>
              <w:jc w:val="center"/>
              <w:rPr>
                <w:rFonts w:ascii="仿宋" w:hAnsi="仿宋" w:eastAsia="仿宋" w:cs="Times New Roman"/>
                <w:sz w:val="32"/>
                <w:szCs w:val="32"/>
              </w:rPr>
            </w:pPr>
            <w:r>
              <w:rPr>
                <w:rFonts w:hint="eastAsia" w:ascii="仿宋" w:hAnsi="仿宋" w:eastAsia="仿宋"/>
                <w:color w:val="444444"/>
                <w:sz w:val="28"/>
                <w:szCs w:val="28"/>
                <w:shd w:val="clear" w:color="auto" w:fill="FFFFFF"/>
              </w:rPr>
              <w:t>行政处罚</w:t>
            </w:r>
          </w:p>
        </w:tc>
        <w:tc>
          <w:tcPr>
            <w:tcW w:w="1276" w:type="dxa"/>
          </w:tcPr>
          <w:p>
            <w:pPr>
              <w:widowControl/>
              <w:shd w:val="clear" w:color="auto" w:fill="FFFFFF"/>
              <w:jc w:val="left"/>
              <w:rPr>
                <w:rFonts w:ascii="仿宋" w:hAnsi="仿宋" w:eastAsia="仿宋" w:cs="宋体"/>
                <w:color w:val="444444"/>
                <w:kern w:val="0"/>
                <w:sz w:val="24"/>
                <w:szCs w:val="24"/>
              </w:rPr>
            </w:pPr>
            <w:r>
              <w:fldChar w:fldCharType="begin"/>
            </w:r>
            <w:r>
              <w:instrText xml:space="preserve"> HYPERLINK "https://59.197.165.3/lnqlk/epointqlk/audititem/daibeian/void(0)" </w:instrText>
            </w:r>
            <w:r>
              <w:fldChar w:fldCharType="separate"/>
            </w:r>
            <w:r>
              <w:rPr>
                <w:rFonts w:ascii="仿宋" w:hAnsi="仿宋" w:eastAsia="仿宋" w:cs="宋体"/>
                <w:color w:val="444444"/>
                <w:kern w:val="0"/>
                <w:sz w:val="24"/>
                <w:szCs w:val="24"/>
              </w:rPr>
              <w:t>对违反《粮食流通管理条例》有关行为的处罚</w:t>
            </w:r>
            <w:r>
              <w:rPr>
                <w:rFonts w:ascii="仿宋" w:hAnsi="仿宋" w:eastAsia="仿宋" w:cs="宋体"/>
                <w:color w:val="444444"/>
                <w:kern w:val="0"/>
                <w:sz w:val="24"/>
                <w:szCs w:val="24"/>
              </w:rPr>
              <w:fldChar w:fldCharType="end"/>
            </w:r>
          </w:p>
        </w:tc>
        <w:tc>
          <w:tcPr>
            <w:tcW w:w="5528" w:type="dxa"/>
          </w:tcPr>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1.需经听证程序做出的</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2.情况疑难复杂，涉及多个法律关系的</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3.对公民处以罚款和没收违法所得或者没收非法财物1万元以上</w:t>
            </w:r>
          </w:p>
          <w:p>
            <w:pPr>
              <w:widowControl/>
              <w:shd w:val="clear" w:color="auto" w:fill="FFFFFF"/>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4.对法人或者其他组织处除依法适用简易程序实施的行政处罚以外的全部行政处罚</w:t>
            </w:r>
          </w:p>
          <w:p>
            <w:pPr>
              <w:rPr>
                <w:rFonts w:ascii="仿宋" w:hAnsi="仿宋" w:eastAsia="仿宋" w:cs="宋体"/>
                <w:color w:val="444444"/>
                <w:kern w:val="0"/>
                <w:sz w:val="24"/>
                <w:szCs w:val="24"/>
              </w:rPr>
            </w:pPr>
            <w:r>
              <w:rPr>
                <w:rFonts w:hint="eastAsia" w:ascii="仿宋" w:hAnsi="仿宋" w:eastAsia="仿宋" w:cs="宋体"/>
                <w:color w:val="444444"/>
                <w:kern w:val="0"/>
                <w:sz w:val="24"/>
                <w:szCs w:val="24"/>
              </w:rPr>
              <w:t>5.其他法律、法规、规章规定应当进行法制审核的</w:t>
            </w:r>
          </w:p>
        </w:tc>
      </w:tr>
    </w:tbl>
    <w:p>
      <w:pPr>
        <w:rPr>
          <w:rFonts w:ascii="Times New Roman" w:hAnsi="Times New Roman" w:eastAsia="仿宋"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2ZTM0ODA0MTAxOTQ3Yjk4YjA0YjdhNTI3MDVmMzAifQ=="/>
  </w:docVars>
  <w:rsids>
    <w:rsidRoot w:val="001975C2"/>
    <w:rsid w:val="00033E8F"/>
    <w:rsid w:val="00142113"/>
    <w:rsid w:val="001975C2"/>
    <w:rsid w:val="001B116B"/>
    <w:rsid w:val="002148A7"/>
    <w:rsid w:val="004A6A2A"/>
    <w:rsid w:val="004D7182"/>
    <w:rsid w:val="00551136"/>
    <w:rsid w:val="00643464"/>
    <w:rsid w:val="007235AC"/>
    <w:rsid w:val="007A4170"/>
    <w:rsid w:val="00810B65"/>
    <w:rsid w:val="008A1D75"/>
    <w:rsid w:val="00951D0C"/>
    <w:rsid w:val="009D3552"/>
    <w:rsid w:val="00A657F0"/>
    <w:rsid w:val="00B33F5D"/>
    <w:rsid w:val="00B712EF"/>
    <w:rsid w:val="00B766FB"/>
    <w:rsid w:val="00BB68F0"/>
    <w:rsid w:val="00BD26EF"/>
    <w:rsid w:val="00C447ED"/>
    <w:rsid w:val="00CD45A2"/>
    <w:rsid w:val="00D509E0"/>
    <w:rsid w:val="00DD058A"/>
    <w:rsid w:val="00EC10C5"/>
    <w:rsid w:val="00EF3FD8"/>
    <w:rsid w:val="00F07602"/>
    <w:rsid w:val="00FA0AFD"/>
    <w:rsid w:val="499C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unhideWhenUsed/>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tim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0C8B-3381-44C6-B29C-381B84C15F06}">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1197</Words>
  <Characters>1240</Characters>
  <Lines>13</Lines>
  <Paragraphs>3</Paragraphs>
  <TotalTime>89</TotalTime>
  <ScaleCrop>false</ScaleCrop>
  <LinksUpToDate>false</LinksUpToDate>
  <CharactersWithSpaces>1243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2019-10-28T01:33:00Z</dcterms:created>
  <dc:creator>USER-</dc:creator>
  <cp:lastModifiedBy>Administrator</cp:lastModifiedBy>
  <cp:lastPrinted>2019-10-31T01:02:00Z</cp:lastPrinted>
  <dcterms:modified xsi:type="dcterms:W3CDTF">2022-11-17T09:54:26Z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A115ECDDC7EB4EB39C769258214A99DF</vt:lpwstr>
  </property>
</Properties>
</file>