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大连市卫生健康系统</w:t>
      </w:r>
      <w:r>
        <w:rPr>
          <w:rFonts w:hint="eastAsia" w:ascii="宋体" w:hAnsi="宋体" w:eastAsia="宋体" w:cs="宋体"/>
          <w:b/>
          <w:bCs/>
          <w:color w:val="000000"/>
          <w:kern w:val="0"/>
          <w:sz w:val="40"/>
          <w:szCs w:val="40"/>
          <w:lang w:eastAsia="zh-CN"/>
        </w:rPr>
        <w:t>行政执法</w:t>
      </w:r>
      <w:r>
        <w:rPr>
          <w:rFonts w:hint="eastAsia" w:ascii="宋体" w:hAnsi="宋体" w:eastAsia="宋体" w:cs="宋体"/>
          <w:b/>
          <w:bCs/>
          <w:color w:val="000000"/>
          <w:kern w:val="0"/>
          <w:sz w:val="40"/>
          <w:szCs w:val="40"/>
        </w:rPr>
        <w:t>“四张清单”——不予行政处罚事项清单</w:t>
      </w:r>
    </w:p>
    <w:tbl>
      <w:tblPr>
        <w:tblStyle w:val="5"/>
        <w:tblW w:w="14823" w:type="dxa"/>
        <w:tblInd w:w="93" w:type="dxa"/>
        <w:shd w:val="clear" w:color="auto" w:fill="auto"/>
        <w:tblLayout w:type="fixed"/>
        <w:tblCellMar>
          <w:top w:w="0" w:type="dxa"/>
          <w:left w:w="108" w:type="dxa"/>
          <w:bottom w:w="0" w:type="dxa"/>
          <w:right w:w="108" w:type="dxa"/>
        </w:tblCellMar>
      </w:tblPr>
      <w:tblGrid>
        <w:gridCol w:w="605"/>
        <w:gridCol w:w="1395"/>
        <w:gridCol w:w="709"/>
        <w:gridCol w:w="4252"/>
        <w:gridCol w:w="2162"/>
        <w:gridCol w:w="1995"/>
        <w:gridCol w:w="1275"/>
        <w:gridCol w:w="2430"/>
      </w:tblGrid>
      <w:tr>
        <w:tblPrEx>
          <w:shd w:val="clear" w:color="auto" w:fill="auto"/>
          <w:tblCellMar>
            <w:top w:w="0" w:type="dxa"/>
            <w:left w:w="108" w:type="dxa"/>
            <w:bottom w:w="0" w:type="dxa"/>
            <w:right w:w="108" w:type="dxa"/>
          </w:tblCellMar>
        </w:tblPrEx>
        <w:trPr>
          <w:trHeight w:val="795"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免罚事项名称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管理</w:t>
            </w:r>
          </w:p>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领域</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适用情形</w:t>
            </w:r>
          </w:p>
        </w:tc>
        <w:tc>
          <w:tcPr>
            <w:tcW w:w="21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法定依据</w:t>
            </w:r>
          </w:p>
        </w:tc>
        <w:tc>
          <w:tcPr>
            <w:tcW w:w="19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配套监管措施</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实施部门</w:t>
            </w:r>
          </w:p>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（市级）</w:t>
            </w:r>
          </w:p>
        </w:tc>
        <w:tc>
          <w:tcPr>
            <w:tcW w:w="24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实施部门</w:t>
            </w:r>
          </w:p>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（区级）</w:t>
            </w:r>
          </w:p>
        </w:tc>
      </w:tr>
      <w:tr>
        <w:tblPrEx>
          <w:shd w:val="clear" w:color="auto" w:fill="auto"/>
          <w:tblCellMar>
            <w:top w:w="0" w:type="dxa"/>
            <w:left w:w="108" w:type="dxa"/>
            <w:bottom w:w="0" w:type="dxa"/>
            <w:right w:w="108" w:type="dxa"/>
          </w:tblCellMar>
        </w:tblPrEx>
        <w:trPr>
          <w:trHeight w:val="6096"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rPr>
              <w:t>1</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未按规定办理执业地点变更手续的护士在本机构从事诊疗技术规范规定的护理活动的处罚</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医疗机构使用未按规定办理执业地点变更手续的护士在本机构从事诊疗技术规范规定的护理活动的，同时符合下列条件的，不予行政处罚：</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1.首次违反；</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2.违法行为持续时间不足30日；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3.涉案护士人数不足3人；</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4.在卫生健康行政部门发现前主动改正，或者在卫生健康行政部门责令限期改正的限期内改正；</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5.未造成危害后果；</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6.其他可以认定为轻微情形的；</w:t>
            </w:r>
          </w:p>
        </w:tc>
        <w:tc>
          <w:tcPr>
            <w:tcW w:w="21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《护士条例</w:t>
            </w:r>
            <w:bookmarkStart w:id="0" w:name="_GoBack"/>
            <w:bookmarkEnd w:id="0"/>
            <w:r>
              <w:rPr>
                <w:rFonts w:hint="eastAsia" w:ascii="微软雅黑" w:hAnsi="微软雅黑" w:eastAsia="微软雅黑" w:cs="微软雅黑"/>
                <w:kern w:val="0"/>
                <w:sz w:val="24"/>
                <w:szCs w:val="24"/>
              </w:rPr>
              <w:t xml:space="preserve">》第九条、第二十八条 </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2.上交整改报告；</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3.约谈；</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4.复查；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5.对当事人再次出现同类违法行为的，依法依规予以查处。</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shd w:val="clear" w:color="auto" w:fill="auto"/>
          <w:tblCellMar>
            <w:top w:w="0" w:type="dxa"/>
            <w:left w:w="108" w:type="dxa"/>
            <w:bottom w:w="0" w:type="dxa"/>
            <w:right w:w="108" w:type="dxa"/>
          </w:tblCellMar>
        </w:tblPrEx>
        <w:trPr>
          <w:trHeight w:val="3405"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rPr>
              <w:t>2</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未按规定办理延续执业注册有效期限的护士在本机构从事诊疗技术规范规定的护理活动的处罚</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医疗机构使用未按规定办理延续执业注册有效期限的护士在本机构从事诊疗技术规范规定的护理活动，同时符合下列条件的，不予行政处罚：</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1.首次违反；</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2.违法行为持续时间不足30日；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3.涉案护士人数不足3人；</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4.在卫生健康行政部门发现前主动改正，或者在卫生健康行政部门责令限期改正的限期内改正；</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5.未造成危害后果；</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6.其他可以认定为轻微情形的；</w:t>
            </w:r>
          </w:p>
        </w:tc>
        <w:tc>
          <w:tcPr>
            <w:tcW w:w="21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《护士条例》第十条、第二十八条 </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2.上交整改报告；</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3.约谈；</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4.复查；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5.对当事人再次出现同类违法行为的，依法依规予以查处。</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shd w:val="clear" w:color="auto" w:fill="auto"/>
          <w:tblCellMar>
            <w:top w:w="0" w:type="dxa"/>
            <w:left w:w="108" w:type="dxa"/>
            <w:bottom w:w="0" w:type="dxa"/>
            <w:right w:w="108" w:type="dxa"/>
          </w:tblCellMar>
        </w:tblPrEx>
        <w:trPr>
          <w:trHeight w:val="2325"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rPr>
              <w:t>3</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未制定、实施本机构护士在职培训计划的处罚</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医疗卫生机构未制定、实施本机构护士在职培训计划，同时符合下列条件的，不予行政处罚：</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1.首次违反；</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2.违法行为持续时间不足30日；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3.在卫生健康行政部门发现前主动改正，或者在卫生健康行政部门责令限期改正的限期内改正；</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4.未造成危害后果；</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5.其他可以认定为轻微情形的。</w:t>
            </w:r>
          </w:p>
        </w:tc>
        <w:tc>
          <w:tcPr>
            <w:tcW w:w="21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《护士条例》第二十四条、第三十条</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2.上交整改报告；</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3.约谈；</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4.复查；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5.对当事人再次出现同类违法行为的，依法依规予以查处。</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shd w:val="clear" w:color="auto" w:fill="auto"/>
          <w:tblCellMar>
            <w:top w:w="0" w:type="dxa"/>
            <w:left w:w="108" w:type="dxa"/>
            <w:bottom w:w="0" w:type="dxa"/>
            <w:right w:w="108" w:type="dxa"/>
          </w:tblCellMar>
        </w:tblPrEx>
        <w:trPr>
          <w:trHeight w:val="2730"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rPr>
              <w:t>4</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未建立、健全职业卫生管理制度和操作规程的处罚</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用人单位未建立、健全职业卫生管理制度和操作规程，同时符合下列条件的，不予行政处罚：</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1.首次违反；</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lang w:val="en-US" w:eastAsia="zh-CN"/>
              </w:rPr>
              <w:t>2</w:t>
            </w:r>
            <w:r>
              <w:rPr>
                <w:rFonts w:hint="eastAsia" w:ascii="微软雅黑" w:hAnsi="微软雅黑" w:eastAsia="微软雅黑" w:cs="微软雅黑"/>
                <w:kern w:val="0"/>
                <w:sz w:val="24"/>
                <w:szCs w:val="24"/>
              </w:rPr>
              <w:t>.仅违反程序性规定或违法行为持续时间不足30日；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rPr>
              <w:t>.在卫生健康行政部门发现前主动改正，或者在卫生健康行政部门责令限期改正的限期内改正；</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kern w:val="0"/>
                <w:sz w:val="24"/>
                <w:szCs w:val="24"/>
              </w:rPr>
              <w:t>.未造成危害后果；</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lang w:val="en-US" w:eastAsia="zh-CN"/>
              </w:rPr>
              <w:t>5</w:t>
            </w:r>
            <w:r>
              <w:rPr>
                <w:rFonts w:hint="eastAsia" w:ascii="微软雅黑" w:hAnsi="微软雅黑" w:eastAsia="微软雅黑" w:cs="微软雅黑"/>
                <w:kern w:val="0"/>
                <w:sz w:val="24"/>
                <w:szCs w:val="24"/>
              </w:rPr>
              <w:t>.其他可以认定为轻微情形的。</w:t>
            </w:r>
          </w:p>
        </w:tc>
        <w:tc>
          <w:tcPr>
            <w:tcW w:w="21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《中华人民共和国职业病防治法》第二十条、第七十条</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2.上交整改报告；</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3.约谈；</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4.复查；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5.对当事人再次出现同类违法行为的，依法依规予以查处。</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shd w:val="clear" w:color="auto" w:fill="auto"/>
          <w:tblCellMar>
            <w:top w:w="0" w:type="dxa"/>
            <w:left w:w="108" w:type="dxa"/>
            <w:bottom w:w="0" w:type="dxa"/>
            <w:right w:w="108" w:type="dxa"/>
          </w:tblCellMar>
        </w:tblPrEx>
        <w:trPr>
          <w:trHeight w:val="4379"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rPr>
              <w:t>5</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工作场所职业病危害因素检测、评价结果没有上报的处罚</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用人单位没有上报工作场所职业病危害因素检测、评价结果，同时符合下列条件的，不予行政处罚：</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1.首次违反；</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lang w:val="en-US" w:eastAsia="zh-CN"/>
              </w:rPr>
              <w:t>2</w:t>
            </w:r>
            <w:r>
              <w:rPr>
                <w:rFonts w:hint="eastAsia" w:ascii="微软雅黑" w:hAnsi="微软雅黑" w:eastAsia="微软雅黑" w:cs="微软雅黑"/>
                <w:kern w:val="0"/>
                <w:sz w:val="24"/>
                <w:szCs w:val="24"/>
              </w:rPr>
              <w:t>.违法行为持续时间不足30日；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rPr>
              <w:t>.在卫生健康行政部门发现前主动改正，或者在卫生健康行政部门责令限期改正的限期内改正；</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kern w:val="0"/>
                <w:sz w:val="24"/>
                <w:szCs w:val="24"/>
              </w:rPr>
              <w:t>.未造成危害后果；</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lang w:val="en-US" w:eastAsia="zh-CN"/>
              </w:rPr>
              <w:t>5</w:t>
            </w:r>
            <w:r>
              <w:rPr>
                <w:rFonts w:hint="eastAsia" w:ascii="微软雅黑" w:hAnsi="微软雅黑" w:eastAsia="微软雅黑" w:cs="微软雅黑"/>
                <w:kern w:val="0"/>
                <w:sz w:val="24"/>
                <w:szCs w:val="24"/>
              </w:rPr>
              <w:t>.其他可以认定为轻微情形的。</w:t>
            </w:r>
          </w:p>
        </w:tc>
        <w:tc>
          <w:tcPr>
            <w:tcW w:w="21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《中华人民共和国职业病防治法》第二十六条、第七十条</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2.上交整改报告；</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3.约谈；</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4.复查；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5.对当事人再次出现同类违法行为的，依法依规予以查处。</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shd w:val="clear" w:color="auto" w:fill="auto"/>
          <w:tblCellMar>
            <w:top w:w="0" w:type="dxa"/>
            <w:left w:w="108" w:type="dxa"/>
            <w:bottom w:w="0" w:type="dxa"/>
            <w:right w:w="108" w:type="dxa"/>
          </w:tblCellMar>
        </w:tblPrEx>
        <w:trPr>
          <w:trHeight w:val="6360"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val="0"/>
                <w:bCs w:val="0"/>
                <w:kern w:val="0"/>
                <w:sz w:val="24"/>
                <w:szCs w:val="24"/>
              </w:rPr>
              <w:t>6</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设立单位未依照规定在实验室的明显位置标示国务院卫生主管部门和兽医主管部门规定的生物危险标识和生物安全实验室级别标志的处罚</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实验室设立单位未依照规定在实验室的明显位置标示国务院卫生主管部门和兽医主管部门规定的生物危险标识和生物安全实验室级别标志,同时符合下列条件的，不予行政处罚：</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（一）首次违反的：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1.在卫生健康行政部门发现前主动改正，或者在卫生健康行政部门责令限期改正的限期内改正；</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w:t>
            </w:r>
            <w:r>
              <w:rPr>
                <w:rFonts w:hint="eastAsia" w:ascii="微软雅黑" w:hAnsi="微软雅黑" w:eastAsia="微软雅黑" w:cs="微软雅黑"/>
                <w:kern w:val="0"/>
                <w:sz w:val="24"/>
                <w:szCs w:val="24"/>
                <w:lang w:eastAsia="zh-CN"/>
              </w:rPr>
              <w:t>未</w:t>
            </w:r>
            <w:r>
              <w:rPr>
                <w:rFonts w:hint="eastAsia" w:ascii="微软雅黑" w:hAnsi="微软雅黑" w:eastAsia="微软雅黑" w:cs="微软雅黑"/>
                <w:kern w:val="0"/>
                <w:sz w:val="24"/>
                <w:szCs w:val="24"/>
              </w:rPr>
              <w:t>造成危害后果，或：违法行为有特定对象，造成特定对象一定程度的人身损害、财产损失，但与特定对象已经达成和解；或违法行为没有特定对象的，造成一定社会影响，但及时采取措施，消除或者较大程度减轻社会影响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3.其他可以认定为轻微情形的。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（二）非首次违反的：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1.标示了生物危险标识和生物安全实验室级别标志，但不符合国务院卫生主管部门和兽医主管部门规定的；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2.仅违反程序性规定，违法行为持续时间不足30日；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3.在卫生健康行政部门发现前主动改正，或者在卫生健康行政部门责令限期改正的限期内改正；</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4.未造成危害后果；</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5.其他可以认定为轻微情形的。</w:t>
            </w:r>
          </w:p>
        </w:tc>
        <w:tc>
          <w:tcPr>
            <w:tcW w:w="21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《病原微生物实验室生物安全管理条例》第三十九条、第六十条</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2.上交整改报告；</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3.约谈；</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4.复查；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5.对当事人再次出现同类违法行为的，依法依规予以查处。</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shd w:val="clear" w:color="auto" w:fill="auto"/>
          <w:tblCellMar>
            <w:top w:w="0" w:type="dxa"/>
            <w:left w:w="108" w:type="dxa"/>
            <w:bottom w:w="0" w:type="dxa"/>
            <w:right w:w="108" w:type="dxa"/>
          </w:tblCellMar>
        </w:tblPrEx>
        <w:trPr>
          <w:trHeight w:val="2430"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rPr>
              <w:t>7</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医疗机构未按照规定建立医疗器械临床使用管理工作制度的处罚</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医疗机构未按照规定建立医疗器械临床使用管理工作制度，同时符合下列条件的，不予行政处罚：</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1.首次违反；</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2.违法行为持续时间不足30日；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3.在卫生健康行政部门发现前主动改正或者在卫生健康行政部门责令限期改正的限期内改正；</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4.未造成危害后果；</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5.其他可以认定为轻微情形的。</w:t>
            </w:r>
          </w:p>
        </w:tc>
        <w:tc>
          <w:tcPr>
            <w:tcW w:w="21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《医疗器械临床使用管理办法》第四条、第四十五条</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2.上交整改报告；</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3.约谈；</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4.复查；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5.对当事人再次出现同类违法行为的，依法依规予以查处。</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shd w:val="clear" w:color="auto" w:fill="auto"/>
          <w:tblCellMar>
            <w:top w:w="0" w:type="dxa"/>
            <w:left w:w="108" w:type="dxa"/>
            <w:bottom w:w="0" w:type="dxa"/>
            <w:right w:w="108" w:type="dxa"/>
          </w:tblCellMar>
        </w:tblPrEx>
        <w:trPr>
          <w:trHeight w:val="2430"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rPr>
              <w:t>8</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医疗机构未按照规定设立医疗器械临床使用管理委员会或者配备专（兼）职人员负责本机构医疗器械临床使用管理工作的处罚</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医疗机构未按照规定设立医疗器械临床使用管理委员会或者配备专（兼）职人员负责本机构医疗器械临床使用管理工作，同时符合下列条件的，不予行政处罚：</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1.首次违反；</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2.违法行为持续时间不足30日；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3.在卫生健康行政部门发现前主动改正或者在卫生健康行政部门责令限期改正的限期内改正的；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4.未造成危害后果，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5.其他可以认定为轻微情形的。</w:t>
            </w:r>
          </w:p>
        </w:tc>
        <w:tc>
          <w:tcPr>
            <w:tcW w:w="21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《医疗器械临床应用管理办法》第九条、第四十五条</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2.上交整改报告；</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3.约谈；</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4.复查；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5.对当事人再次出现同类违法行为的，依法依规予以查处。</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shd w:val="clear" w:color="auto" w:fill="auto"/>
          <w:tblCellMar>
            <w:top w:w="0" w:type="dxa"/>
            <w:left w:w="108" w:type="dxa"/>
            <w:bottom w:w="0" w:type="dxa"/>
            <w:right w:w="108" w:type="dxa"/>
          </w:tblCellMar>
        </w:tblPrEx>
        <w:trPr>
          <w:trHeight w:val="6647"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val="0"/>
                <w:bCs w:val="0"/>
                <w:kern w:val="0"/>
                <w:sz w:val="24"/>
                <w:szCs w:val="24"/>
              </w:rPr>
              <w:t>9</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医疗机构未对医疗废物进行登记或者未保存登记资料的处罚</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医疗机构未对医疗废物进行登记或者未保存登记资料的,同时符合下列条件的，不予行政处罚：</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（一）首次违反的；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1.在卫生健康行政部门发现前主动改正，或者在卫生健康行政部门责令限期改正的限期内改正；</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未造成危害后果，或：违法行为有特定对象，造成特定对象一定程度的人身损害、财产损失，但与特定对象已经达成和解；或违法行为没有特定对象，造成一定社会影响，但及时采取措施，消除或者较大程度减轻社会影响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3.其他可以认定为轻微情形的。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（二）非首次违反的：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1.仅违反程序性规定，未对医疗废物进行登记持续时间少于3天，或未保存登记资料持续时间不足30日；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2.在卫生健康行政部门发现前主动改正或者在卫生健康行政部门责令限期改正的限期内改正的；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3.未造成危害后果的；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4.其他可以认定为轻微情形的。</w:t>
            </w:r>
          </w:p>
        </w:tc>
        <w:tc>
          <w:tcPr>
            <w:tcW w:w="21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《医疗废物管理条例》第第十二条、四十五条</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《医疗卫生机构医疗废物管理办法》第二十四条、第三十九条</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《医疗废物管理行政处罚办法》第二条 </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2.上交整改报告；</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3.约谈；</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4.复查；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5.对当事人再次出现同类违法行为的，依法依规予以查处。</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shd w:val="clear" w:color="auto" w:fill="auto"/>
          <w:tblCellMar>
            <w:top w:w="0" w:type="dxa"/>
            <w:left w:w="108" w:type="dxa"/>
            <w:bottom w:w="0" w:type="dxa"/>
            <w:right w:w="108" w:type="dxa"/>
          </w:tblCellMar>
        </w:tblPrEx>
        <w:trPr>
          <w:trHeight w:val="6647"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10</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放射工作单位未给从事放射工作的人员办理《放射工作人员证》的处罚</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放射工作单位未给从事放射工作的人员办理《放射工作人员证》</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rPr>
              <w:t>同时符合下列条件的，不予行政处罚：</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1.首次违反；</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2.违法从事放射工作人员数3人以下且违法行为持续时间不足30日；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3.已组织放射工作人员进行上岗前职业健康检查且检查结果符合放射工作人员的职业健康要求；</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kern w:val="0"/>
                <w:sz w:val="24"/>
                <w:szCs w:val="24"/>
              </w:rPr>
              <w:t>.已为放射工作人员配备外照射个人剂量计且按有关要求进行个人剂量监测；</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5</w:t>
            </w:r>
            <w:r>
              <w:rPr>
                <w:rFonts w:hint="eastAsia" w:ascii="微软雅黑" w:hAnsi="微软雅黑" w:eastAsia="微软雅黑" w:cs="微软雅黑"/>
                <w:kern w:val="0"/>
                <w:sz w:val="24"/>
                <w:szCs w:val="24"/>
              </w:rPr>
              <w:t>.已对放射工作人员进行上岗前放射防护和有关法律知识培训且考核合格；</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6.</w:t>
            </w:r>
            <w:r>
              <w:rPr>
                <w:rFonts w:hint="eastAsia" w:ascii="微软雅黑" w:hAnsi="微软雅黑" w:eastAsia="微软雅黑" w:cs="微软雅黑"/>
                <w:kern w:val="0"/>
                <w:sz w:val="24"/>
                <w:szCs w:val="24"/>
              </w:rPr>
              <w:t>在卫生健康行政部门发现前主动改正或者在卫生健康行政部门责令限期改正的限期内改正的；</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lang w:val="en-US" w:eastAsia="zh-CN"/>
              </w:rPr>
              <w:t>7</w:t>
            </w:r>
            <w:r>
              <w:rPr>
                <w:rFonts w:hint="eastAsia" w:ascii="微软雅黑" w:hAnsi="微软雅黑" w:eastAsia="微软雅黑" w:cs="微软雅黑"/>
                <w:kern w:val="0"/>
                <w:sz w:val="24"/>
                <w:szCs w:val="24"/>
              </w:rPr>
              <w:t>.未造成危害后果，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8</w:t>
            </w:r>
            <w:r>
              <w:rPr>
                <w:rFonts w:hint="eastAsia" w:ascii="微软雅黑" w:hAnsi="微软雅黑" w:eastAsia="微软雅黑" w:cs="微软雅黑"/>
                <w:kern w:val="0"/>
                <w:sz w:val="24"/>
                <w:szCs w:val="24"/>
              </w:rPr>
              <w:t>.其他可以认定为轻微情形的。</w:t>
            </w:r>
          </w:p>
        </w:tc>
        <w:tc>
          <w:tcPr>
            <w:tcW w:w="21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《放射工作人员职业健康管理办法》第</w:t>
            </w:r>
            <w:r>
              <w:rPr>
                <w:rFonts w:hint="eastAsia" w:ascii="微软雅黑" w:hAnsi="微软雅黑" w:eastAsia="微软雅黑" w:cs="微软雅黑"/>
                <w:kern w:val="0"/>
                <w:sz w:val="24"/>
                <w:szCs w:val="24"/>
                <w:lang w:eastAsia="zh-CN"/>
              </w:rPr>
              <w:t>六</w:t>
            </w:r>
            <w:r>
              <w:rPr>
                <w:rFonts w:hint="eastAsia" w:ascii="微软雅黑" w:hAnsi="微软雅黑" w:eastAsia="微软雅黑" w:cs="微软雅黑"/>
                <w:kern w:val="0"/>
                <w:sz w:val="24"/>
                <w:szCs w:val="24"/>
              </w:rPr>
              <w:t>条</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rPr>
              <w:t>第三十九条</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1.下发卫生监督意见书；</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2.上交整改报告；</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3.约谈；</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4.复查；</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5.对当事人再次出现同类违法行为的，依法依规予以查处。</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大连市卫生健康委员会</w:t>
            </w:r>
          </w:p>
        </w:tc>
        <w:tc>
          <w:tcPr>
            <w:tcW w:w="2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长兴岛经济区教育文体卫生局</w:t>
            </w:r>
          </w:p>
        </w:tc>
      </w:tr>
    </w:tbl>
    <w:p>
      <w:pPr>
        <w:jc w:val="center"/>
        <w:rPr>
          <w:rFonts w:ascii="宋体" w:hAnsi="宋体" w:eastAsia="宋体" w:cs="宋体"/>
          <w:b/>
          <w:bCs/>
          <w:color w:val="000000"/>
          <w:kern w:val="0"/>
          <w:sz w:val="40"/>
          <w:szCs w:val="40"/>
        </w:rPr>
      </w:pPr>
    </w:p>
    <w:p>
      <w:pPr>
        <w:jc w:val="center"/>
        <w:rPr>
          <w:rFonts w:hint="eastAsia" w:ascii="宋体" w:hAnsi="宋体" w:eastAsia="宋体" w:cs="宋体"/>
          <w:b/>
          <w:bCs/>
          <w:color w:val="000000"/>
          <w:kern w:val="0"/>
          <w:sz w:val="40"/>
          <w:szCs w:val="40"/>
        </w:rPr>
      </w:pPr>
    </w:p>
    <w:p>
      <w:pPr>
        <w:jc w:val="center"/>
        <w:rPr>
          <w:rFonts w:hint="eastAsia" w:ascii="宋体" w:hAnsi="宋体" w:eastAsia="宋体" w:cs="宋体"/>
          <w:b/>
          <w:bCs/>
          <w:color w:val="000000"/>
          <w:kern w:val="0"/>
          <w:sz w:val="40"/>
          <w:szCs w:val="40"/>
        </w:rPr>
      </w:pPr>
    </w:p>
    <w:p>
      <w:pPr>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大连市卫生健康系统“四张清单”——从轻处罚事项清单</w:t>
      </w:r>
    </w:p>
    <w:tbl>
      <w:tblPr>
        <w:tblStyle w:val="5"/>
        <w:tblW w:w="148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6"/>
        <w:gridCol w:w="1202"/>
        <w:gridCol w:w="709"/>
        <w:gridCol w:w="2907"/>
        <w:gridCol w:w="2621"/>
        <w:gridCol w:w="1478"/>
        <w:gridCol w:w="1641"/>
        <w:gridCol w:w="1209"/>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656" w:type="dxa"/>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02"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从轻处罚事项名称</w:t>
            </w:r>
          </w:p>
        </w:tc>
        <w:tc>
          <w:tcPr>
            <w:tcW w:w="709"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管理</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领域</w:t>
            </w:r>
          </w:p>
        </w:tc>
        <w:tc>
          <w:tcPr>
            <w:tcW w:w="2907"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适用情形</w:t>
            </w:r>
          </w:p>
        </w:tc>
        <w:tc>
          <w:tcPr>
            <w:tcW w:w="2621"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从轻幅度</w:t>
            </w:r>
          </w:p>
        </w:tc>
        <w:tc>
          <w:tcPr>
            <w:tcW w:w="1478"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法定依据</w:t>
            </w:r>
          </w:p>
        </w:tc>
        <w:tc>
          <w:tcPr>
            <w:tcW w:w="1641"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配套监管措施</w:t>
            </w:r>
          </w:p>
        </w:tc>
        <w:tc>
          <w:tcPr>
            <w:tcW w:w="1209"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实施部门（市级）</w:t>
            </w:r>
          </w:p>
        </w:tc>
        <w:tc>
          <w:tcPr>
            <w:tcW w:w="2415"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实施部门（区级）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6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1</w:t>
            </w: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医疗机构未按照规定制定和实施医疗质量安全管理制度的行政处罚</w:t>
            </w:r>
          </w:p>
        </w:tc>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2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医疗机构未按照规定制定和实施医疗质量安全管理制度</w:t>
            </w:r>
            <w:r>
              <w:rPr>
                <w:rFonts w:hint="eastAsia" w:ascii="微软雅黑" w:hAnsi="微软雅黑" w:eastAsia="微软雅黑" w:cs="微软雅黑"/>
                <w:kern w:val="0"/>
                <w:sz w:val="24"/>
                <w:szCs w:val="24"/>
              </w:rPr>
              <w:t>同时符合下列条件的，给予警告，并处一万元罚款的行政处罚：</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1.首次违反;</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2</w:t>
            </w:r>
            <w:r>
              <w:rPr>
                <w:rFonts w:hint="eastAsia" w:ascii="微软雅黑" w:hAnsi="微软雅黑" w:eastAsia="微软雅黑" w:cs="微软雅黑"/>
                <w:kern w:val="0"/>
                <w:sz w:val="24"/>
                <w:szCs w:val="24"/>
              </w:rPr>
              <w:t>.在卫生健康行政部门发现前主动改正或者在卫生健康行政部门责令限期改正的限期内改正；</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rPr>
              <w:t>.</w:t>
            </w:r>
            <w:r>
              <w:rPr>
                <w:rFonts w:hint="eastAsia" w:ascii="微软雅黑" w:hAnsi="微软雅黑" w:eastAsia="微软雅黑" w:cs="微软雅黑"/>
                <w:kern w:val="0"/>
                <w:sz w:val="24"/>
                <w:szCs w:val="24"/>
                <w:lang w:eastAsia="zh-CN"/>
              </w:rPr>
              <w:t>未造成</w:t>
            </w:r>
            <w:r>
              <w:rPr>
                <w:rFonts w:hint="eastAsia" w:ascii="微软雅黑" w:hAnsi="微软雅黑" w:eastAsia="微软雅黑" w:cs="微软雅黑"/>
                <w:kern w:val="0"/>
                <w:sz w:val="24"/>
                <w:szCs w:val="24"/>
                <w:lang w:val="en-US" w:eastAsia="zh-CN"/>
              </w:rPr>
              <w:t>危害后果</w:t>
            </w:r>
            <w:r>
              <w:rPr>
                <w:rFonts w:hint="eastAsia" w:ascii="微软雅黑" w:hAnsi="微软雅黑" w:eastAsia="微软雅黑" w:cs="微软雅黑"/>
                <w:kern w:val="0"/>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kern w:val="0"/>
                <w:sz w:val="24"/>
                <w:szCs w:val="24"/>
              </w:rPr>
              <w:t>.其他可以认定为轻微情形的。</w:t>
            </w:r>
          </w:p>
        </w:tc>
        <w:tc>
          <w:tcPr>
            <w:tcW w:w="26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按照《医疗纠纷预防和处理条例》第四十七条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从轻处罚后变为“警告，并处一万元罚款的行政处罚”。</w:t>
            </w:r>
          </w:p>
        </w:tc>
        <w:tc>
          <w:tcPr>
            <w:tcW w:w="14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《医疗纠纷预防和处理条例》第十条、第四十七条</w:t>
            </w:r>
          </w:p>
        </w:tc>
        <w:tc>
          <w:tcPr>
            <w:tcW w:w="16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2.上交整改报告；</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3.约谈；</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4.复查；</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5.对当事人再次出现同类违法行为的，依法依规予以查处。</w:t>
            </w:r>
          </w:p>
        </w:tc>
        <w:tc>
          <w:tcPr>
            <w:tcW w:w="120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大连市卫生健康委员会</w:t>
            </w:r>
          </w:p>
        </w:tc>
        <w:tc>
          <w:tcPr>
            <w:tcW w:w="24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长兴岛经济区教育文体卫生局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9" w:hRule="atLeast"/>
        </w:trPr>
        <w:tc>
          <w:tcPr>
            <w:tcW w:w="6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2</w:t>
            </w: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医师未按规定填写、保管病历资料，或者未按规定补记抢救病历的行政处罚</w:t>
            </w:r>
          </w:p>
        </w:tc>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2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医师未按规定填写、保管病历资料，或者未按规定补给抢救病历</w:t>
            </w:r>
            <w:r>
              <w:rPr>
                <w:rFonts w:hint="eastAsia" w:ascii="微软雅黑" w:hAnsi="微软雅黑" w:eastAsia="微软雅黑" w:cs="微软雅黑"/>
                <w:kern w:val="0"/>
                <w:sz w:val="24"/>
                <w:szCs w:val="24"/>
              </w:rPr>
              <w:t>同时符合下列条件的，给予警告，并处一万元罚款的行政处罚：</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1.首次违反;</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2</w:t>
            </w:r>
            <w:r>
              <w:rPr>
                <w:rFonts w:hint="eastAsia" w:ascii="微软雅黑" w:hAnsi="微软雅黑" w:eastAsia="微软雅黑" w:cs="微软雅黑"/>
                <w:kern w:val="0"/>
                <w:sz w:val="24"/>
                <w:szCs w:val="24"/>
              </w:rPr>
              <w:t>.在卫生健康行政部门发现前主动改正或者在卫生健康行政部门责令限期改正的限期内改正；</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rPr>
              <w:t>.未造成危害后果；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kern w:val="0"/>
                <w:sz w:val="24"/>
                <w:szCs w:val="24"/>
              </w:rPr>
              <w:t>.其他可以认定为轻微情形的</w:t>
            </w:r>
            <w:r>
              <w:rPr>
                <w:rFonts w:hint="eastAsia" w:ascii="微软雅黑" w:hAnsi="微软雅黑" w:eastAsia="微软雅黑" w:cs="微软雅黑"/>
                <w:kern w:val="0"/>
                <w:sz w:val="24"/>
                <w:szCs w:val="24"/>
                <w:lang w:eastAsia="zh-CN"/>
              </w:rPr>
              <w:t>。</w:t>
            </w:r>
          </w:p>
        </w:tc>
        <w:tc>
          <w:tcPr>
            <w:tcW w:w="26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按照《医疗纠纷预防和处理条例》第四十七条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四）未按规定填写、保管病历资料，或者未按规定补记抢救病历；</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从轻处罚后变为“警告，</w:t>
            </w:r>
            <w:r>
              <w:rPr>
                <w:rFonts w:hint="eastAsia" w:ascii="微软雅黑" w:hAnsi="微软雅黑" w:eastAsia="微软雅黑" w:cs="微软雅黑"/>
                <w:kern w:val="0"/>
                <w:sz w:val="24"/>
                <w:szCs w:val="24"/>
              </w:rPr>
              <w:t>并处一万元罚款的行政处罚”。</w:t>
            </w:r>
          </w:p>
        </w:tc>
        <w:tc>
          <w:tcPr>
            <w:tcW w:w="14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《医疗纠纷预防和处理条例》第十五条、第四十七条</w:t>
            </w:r>
          </w:p>
        </w:tc>
        <w:tc>
          <w:tcPr>
            <w:tcW w:w="16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2.上交整改报告；</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3.约谈；</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4.复查；</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5.对当事人再次出现同类违法行为的，依法依规予以查处。</w:t>
            </w:r>
          </w:p>
        </w:tc>
        <w:tc>
          <w:tcPr>
            <w:tcW w:w="120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2" w:hRule="atLeast"/>
        </w:trPr>
        <w:tc>
          <w:tcPr>
            <w:tcW w:w="6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3</w:t>
            </w: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rPr>
              <w:t>经营的消毒产品的命名、标签（含说明书）不符合有关规定的处罚</w:t>
            </w:r>
          </w:p>
        </w:tc>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2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经营的消毒产品的命名、标签（含说明书）不符有关规定，同时符合下列条件的，给予1000元以下罚款的行政处罚：</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1.首次违反;</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2</w:t>
            </w:r>
            <w:r>
              <w:rPr>
                <w:rFonts w:hint="eastAsia" w:ascii="微软雅黑" w:hAnsi="微软雅黑" w:eastAsia="微软雅黑" w:cs="微软雅黑"/>
                <w:kern w:val="0"/>
                <w:sz w:val="24"/>
                <w:szCs w:val="24"/>
              </w:rPr>
              <w:t>.无违法所得；</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rPr>
              <w:t>.违法行为持续时间不足30天的；</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kern w:val="0"/>
                <w:sz w:val="24"/>
                <w:szCs w:val="24"/>
              </w:rPr>
              <w:t>.涉案消毒产品的标签（含说明书）未出现宣传内容不真实、未出现或暗示对疾病的治疗效果等情形；</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5</w:t>
            </w:r>
            <w:r>
              <w:rPr>
                <w:rFonts w:hint="eastAsia" w:ascii="微软雅黑" w:hAnsi="微软雅黑" w:eastAsia="微软雅黑" w:cs="微软雅黑"/>
                <w:kern w:val="0"/>
                <w:sz w:val="24"/>
                <w:szCs w:val="24"/>
              </w:rPr>
              <w:t>.在卫生健康行政部门发现前主动改正或者在卫生健康行政部门责令限期改正的限期内改正；</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6</w:t>
            </w:r>
            <w:r>
              <w:rPr>
                <w:rFonts w:hint="eastAsia" w:ascii="微软雅黑" w:hAnsi="微软雅黑" w:eastAsia="微软雅黑" w:cs="微软雅黑"/>
                <w:kern w:val="0"/>
                <w:sz w:val="24"/>
                <w:szCs w:val="24"/>
              </w:rPr>
              <w:t>.未造成危害后果；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7</w:t>
            </w:r>
            <w:r>
              <w:rPr>
                <w:rFonts w:hint="eastAsia" w:ascii="微软雅黑" w:hAnsi="微软雅黑" w:eastAsia="微软雅黑" w:cs="微软雅黑"/>
                <w:kern w:val="0"/>
                <w:sz w:val="24"/>
                <w:szCs w:val="24"/>
              </w:rPr>
              <w:t>.其他可以认定为轻微情形的。</w:t>
            </w:r>
          </w:p>
        </w:tc>
        <w:tc>
          <w:tcPr>
            <w:tcW w:w="26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按照《消毒管理办法》第四十三条“消毒产品生产经营单位违反本办法第三十一条、第三十二条规定的，由县级以上地方卫生计生行政部门责令其限期改正，可以处5000元以下罚款” </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从轻处罚后变为“处1000元以下罚款”。</w:t>
            </w:r>
          </w:p>
        </w:tc>
        <w:tc>
          <w:tcPr>
            <w:tcW w:w="14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rPr>
              <w:t>《消毒管理办法》第三十一条、第四十三条　</w:t>
            </w:r>
          </w:p>
        </w:tc>
        <w:tc>
          <w:tcPr>
            <w:tcW w:w="16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2.上交整改报告；</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3.约谈；</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4.复查；</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5.对当事人再次出现同类违法行为的，依法依规予以查处。</w:t>
            </w:r>
          </w:p>
        </w:tc>
        <w:tc>
          <w:tcPr>
            <w:tcW w:w="120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大连市卫生健康委员会</w:t>
            </w:r>
          </w:p>
        </w:tc>
        <w:tc>
          <w:tcPr>
            <w:tcW w:w="24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长兴岛经济区教育文体卫生局</w:t>
            </w:r>
          </w:p>
        </w:tc>
      </w:tr>
    </w:tbl>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p>
    <w:p>
      <w:pPr>
        <w:jc w:val="center"/>
        <w:rPr>
          <w:rFonts w:ascii="黑体" w:hAnsi="黑体" w:eastAsia="黑体"/>
          <w:sz w:val="32"/>
          <w:szCs w:val="32"/>
        </w:rPr>
      </w:pPr>
    </w:p>
    <w:p>
      <w:pPr>
        <w:jc w:val="center"/>
        <w:rPr>
          <w:rFonts w:ascii="黑体" w:hAnsi="黑体" w:eastAsia="黑体"/>
          <w:sz w:val="32"/>
          <w:szCs w:val="32"/>
        </w:rPr>
      </w:pPr>
    </w:p>
    <w:p>
      <w:pPr>
        <w:jc w:val="both"/>
        <w:rPr>
          <w:rFonts w:hint="eastAsia" w:ascii="宋体" w:hAnsi="宋体" w:eastAsia="宋体" w:cs="宋体"/>
          <w:b/>
          <w:bCs/>
          <w:color w:val="000000"/>
          <w:kern w:val="0"/>
          <w:sz w:val="40"/>
          <w:szCs w:val="40"/>
        </w:rPr>
      </w:pPr>
    </w:p>
    <w:p>
      <w:pPr>
        <w:jc w:val="center"/>
        <w:rPr>
          <w:rFonts w:ascii="黑体" w:hAnsi="黑体" w:eastAsia="黑体"/>
          <w:sz w:val="32"/>
          <w:szCs w:val="32"/>
        </w:rPr>
      </w:pPr>
      <w:r>
        <w:rPr>
          <w:rFonts w:hint="eastAsia" w:ascii="宋体" w:hAnsi="宋体" w:eastAsia="宋体" w:cs="宋体"/>
          <w:b/>
          <w:bCs/>
          <w:color w:val="000000"/>
          <w:kern w:val="0"/>
          <w:sz w:val="40"/>
          <w:szCs w:val="40"/>
        </w:rPr>
        <w:t>大连市卫生健康系统“四张清单”——减轻处罚事项清单</w:t>
      </w:r>
    </w:p>
    <w:tbl>
      <w:tblPr>
        <w:tblStyle w:val="5"/>
        <w:tblW w:w="148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6"/>
        <w:gridCol w:w="1202"/>
        <w:gridCol w:w="709"/>
        <w:gridCol w:w="2977"/>
        <w:gridCol w:w="2551"/>
        <w:gridCol w:w="1463"/>
        <w:gridCol w:w="1656"/>
        <w:gridCol w:w="1179"/>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656" w:type="dxa"/>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02"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减轻处罚事项名称</w:t>
            </w:r>
          </w:p>
        </w:tc>
        <w:tc>
          <w:tcPr>
            <w:tcW w:w="709"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管理</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领域</w:t>
            </w:r>
          </w:p>
        </w:tc>
        <w:tc>
          <w:tcPr>
            <w:tcW w:w="2977"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适用情形</w:t>
            </w:r>
          </w:p>
        </w:tc>
        <w:tc>
          <w:tcPr>
            <w:tcW w:w="2551"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减轻幅度</w:t>
            </w:r>
          </w:p>
        </w:tc>
        <w:tc>
          <w:tcPr>
            <w:tcW w:w="1463"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法定依据</w:t>
            </w:r>
          </w:p>
        </w:tc>
        <w:tc>
          <w:tcPr>
            <w:tcW w:w="1656"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配套监管措施</w:t>
            </w:r>
          </w:p>
        </w:tc>
        <w:tc>
          <w:tcPr>
            <w:tcW w:w="1179"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实施部门</w:t>
            </w:r>
          </w:p>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（市级）</w:t>
            </w:r>
          </w:p>
        </w:tc>
        <w:tc>
          <w:tcPr>
            <w:tcW w:w="2430"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实施部门（区级）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5" w:hRule="atLeast"/>
        </w:trPr>
        <w:tc>
          <w:tcPr>
            <w:tcW w:w="656" w:type="dxa"/>
            <w:shd w:val="clear" w:color="auto" w:fill="auto"/>
            <w:noWrap/>
            <w:vAlign w:val="center"/>
          </w:tcPr>
          <w:p>
            <w:pPr>
              <w:widowControl/>
              <w:spacing w:line="300" w:lineRule="exact"/>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rPr>
              <w:t>1</w:t>
            </w: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公共场所经营者安排未获得有效健康合格证明的从业人员从事直接为顾客服务工作的处罚</w:t>
            </w:r>
          </w:p>
        </w:tc>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29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公共场所经营者安排未获得有效健康合格证明的从业人员从事直接为顾客服务工作的，同时符合下列条件的，给予警告的行政处罚：</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1.首次违反；</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2.涉案从业人员持有健康合格证明，但已超过有效期的时间不足30日；</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3.在卫生健康行政部门发现前主动改正或者在卫生健康行政部门责令限期改正的限期内改正；</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4.未造成危害后果；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5.其他可以认定为轻微情形的。</w:t>
            </w:r>
          </w:p>
        </w:tc>
        <w:tc>
          <w:tcPr>
            <w:tcW w:w="255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按照《公共场所卫生管理条例实施细则》第三十八条“公共场所经营者安排未获得有效健康合格证明的从业人员从事直接为顾客服务工作的，由县级以上地方人民政府卫生计生行政部门责令限期改正，给予警告，并处以五百元以上五千元以下罚款”。减轻处罚后变为“警告”。</w:t>
            </w:r>
          </w:p>
        </w:tc>
        <w:tc>
          <w:tcPr>
            <w:tcW w:w="1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《公共场所卫生管理条例实施细则》第十条、第三十八条</w:t>
            </w:r>
          </w:p>
        </w:tc>
        <w:tc>
          <w:tcPr>
            <w:tcW w:w="16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2.上交整改报告；</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3.约谈；</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4.复查；</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5.对当事人再次出现同类违法行为的，依法依规予以查处。</w:t>
            </w:r>
          </w:p>
        </w:tc>
        <w:tc>
          <w:tcPr>
            <w:tcW w:w="117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5" w:hRule="atLeast"/>
        </w:trPr>
        <w:tc>
          <w:tcPr>
            <w:tcW w:w="656" w:type="dxa"/>
            <w:shd w:val="clear" w:color="auto" w:fill="auto"/>
            <w:noWrap/>
            <w:vAlign w:val="center"/>
          </w:tcPr>
          <w:p>
            <w:pPr>
              <w:widowControl/>
              <w:spacing w:line="300" w:lineRule="exact"/>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rPr>
              <w:t>2</w:t>
            </w: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公共场所经营者未依法取得公共场所卫生许可</w:t>
            </w:r>
            <w:r>
              <w:rPr>
                <w:rFonts w:hint="eastAsia" w:ascii="微软雅黑" w:hAnsi="微软雅黑" w:eastAsia="微软雅黑" w:cs="微软雅黑"/>
                <w:kern w:val="0"/>
                <w:sz w:val="24"/>
                <w:szCs w:val="24"/>
                <w:lang w:eastAsia="zh-CN"/>
              </w:rPr>
              <w:t>证</w:t>
            </w:r>
            <w:r>
              <w:rPr>
                <w:rFonts w:hint="eastAsia" w:ascii="微软雅黑" w:hAnsi="微软雅黑" w:eastAsia="微软雅黑" w:cs="微软雅黑"/>
                <w:kern w:val="0"/>
                <w:sz w:val="24"/>
                <w:szCs w:val="24"/>
              </w:rPr>
              <w:t>擅自营业的处罚</w:t>
            </w:r>
          </w:p>
        </w:tc>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29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公共场所经营者未依法取得公共场所卫生许可证擅自营业的，同时符合下列条件的，给予警告的行政处罚：</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1.首次违反；</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2.涉案场所持有公共场所卫生许可证，但已超过有效期未依法办理延续的时间不足30日；</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3.在卫生健康行政部门发现前主动改正或者在卫生健康行政部门责令限期改正的限期内改正；</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4.不存在《公共场所卫生管理条例实施细则》第三十五条规定的加重处罚情形；</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5.未造成危害后果；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6.其他可以认定为轻微情形的。</w:t>
            </w:r>
          </w:p>
        </w:tc>
        <w:tc>
          <w:tcPr>
            <w:tcW w:w="255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按照《公共场所卫生管理条例实施细则》第三十五条“对未依法取得公共场所卫生许可证擅自营业的，由县级以上地方人民政府卫生计生行政部门责令限期改正，给予警告，并处以五百元以上五千元以下罚款”。减轻处罚后变为“警告”。</w:t>
            </w:r>
          </w:p>
        </w:tc>
        <w:tc>
          <w:tcPr>
            <w:tcW w:w="1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《公共场所卫生管理条例实施细则》第二十二条、第三十五条</w:t>
            </w:r>
          </w:p>
        </w:tc>
        <w:tc>
          <w:tcPr>
            <w:tcW w:w="16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1.下发卫生监督意见书；</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2.上交整改报告；</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3.约谈；</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4.复查；</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5.对当事人再次出现同类违法行为的，依法依规予以查处。</w:t>
            </w:r>
          </w:p>
        </w:tc>
        <w:tc>
          <w:tcPr>
            <w:tcW w:w="117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4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bl>
    <w:p>
      <w:pPr>
        <w:rPr>
          <w:rFonts w:ascii="仿宋" w:hAnsi="仿宋" w:eastAsia="仿宋" w:cs="宋体"/>
          <w:kern w:val="0"/>
          <w:sz w:val="2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br w:type="textWrapping"/>
      </w:r>
    </w:p>
    <w:p>
      <w:pPr>
        <w:jc w:val="center"/>
        <w:rPr>
          <w:rFonts w:ascii="黑体" w:hAnsi="黑体" w:eastAsia="黑体"/>
          <w:sz w:val="32"/>
          <w:szCs w:val="32"/>
        </w:rPr>
      </w:pPr>
    </w:p>
    <w:p>
      <w:pPr>
        <w:jc w:val="center"/>
        <w:rPr>
          <w:rFonts w:ascii="黑体" w:hAnsi="黑体" w:eastAsia="黑体"/>
          <w:sz w:val="32"/>
          <w:szCs w:val="32"/>
        </w:rPr>
      </w:pPr>
      <w:r>
        <w:rPr>
          <w:rFonts w:hint="eastAsia" w:ascii="宋体" w:hAnsi="宋体" w:eastAsia="宋体" w:cs="宋体"/>
          <w:b/>
          <w:bCs/>
          <w:color w:val="000000"/>
          <w:kern w:val="0"/>
          <w:sz w:val="40"/>
          <w:szCs w:val="40"/>
        </w:rPr>
        <w:t>大连市卫生健康系统“四张清单”——不予行政强制措施事项清单</w:t>
      </w:r>
    </w:p>
    <w:tbl>
      <w:tblPr>
        <w:tblStyle w:val="5"/>
        <w:tblW w:w="1461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6"/>
        <w:gridCol w:w="1769"/>
        <w:gridCol w:w="698"/>
        <w:gridCol w:w="3413"/>
        <w:gridCol w:w="1462"/>
        <w:gridCol w:w="2790"/>
        <w:gridCol w:w="123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656" w:type="dxa"/>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769"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不予行政强制事项名称</w:t>
            </w:r>
          </w:p>
        </w:tc>
        <w:tc>
          <w:tcPr>
            <w:tcW w:w="698"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管理</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领域</w:t>
            </w:r>
          </w:p>
        </w:tc>
        <w:tc>
          <w:tcPr>
            <w:tcW w:w="3413"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适用情形</w:t>
            </w:r>
          </w:p>
        </w:tc>
        <w:tc>
          <w:tcPr>
            <w:tcW w:w="1462"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法定依据</w:t>
            </w:r>
          </w:p>
        </w:tc>
        <w:tc>
          <w:tcPr>
            <w:tcW w:w="2790"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配套监管措施</w:t>
            </w:r>
          </w:p>
        </w:tc>
        <w:tc>
          <w:tcPr>
            <w:tcW w:w="1230"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实施部门（市级）</w:t>
            </w:r>
          </w:p>
        </w:tc>
        <w:tc>
          <w:tcPr>
            <w:tcW w:w="2598"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实施部门（区级）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1" w:hRule="atLeast"/>
        </w:trPr>
        <w:tc>
          <w:tcPr>
            <w:tcW w:w="656" w:type="dxa"/>
            <w:shd w:val="clear" w:color="auto" w:fill="auto"/>
            <w:noWrap/>
            <w:vAlign w:val="center"/>
          </w:tcPr>
          <w:p>
            <w:pPr>
              <w:widowControl/>
              <w:jc w:val="center"/>
              <w:rPr>
                <w:rFonts w:ascii="宋体" w:hAnsi="宋体" w:eastAsia="宋体" w:cs="宋体"/>
                <w:b/>
                <w:bCs/>
                <w:kern w:val="0"/>
                <w:sz w:val="20"/>
                <w:szCs w:val="20"/>
              </w:rPr>
            </w:pPr>
            <w:r>
              <w:rPr>
                <w:rFonts w:hint="eastAsia" w:ascii="微软雅黑" w:hAnsi="微软雅黑" w:eastAsia="微软雅黑" w:cs="微软雅黑"/>
                <w:b w:val="0"/>
                <w:bCs w:val="0"/>
                <w:kern w:val="0"/>
                <w:sz w:val="24"/>
                <w:szCs w:val="24"/>
              </w:rPr>
              <w:t>1</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对涉嫌违反《医疗废物管理条例》的场所、设备、运输工具和物品的查封或者暂扣</w:t>
            </w:r>
          </w:p>
        </w:tc>
        <w:tc>
          <w:tcPr>
            <w:tcW w:w="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卫生健康</w:t>
            </w:r>
          </w:p>
        </w:tc>
        <w:tc>
          <w:tcPr>
            <w:tcW w:w="34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医疗机构涉嫌违反《医疗废物管理条例》，对涉案场所、设备、运输工具和物品,同时符合下列条件的，不予实施查封或暂扣的行政强制措施：</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1.未造成传染病传播；</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2.未发现倒卖医疗废物等情形；</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3.未发现医疗废物处置不符合卫生学效果的情形；</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4.经检查评估，对涉案医疗机构采取行政强制措施将会对现有患者正常诊疗活动产生不利影响；</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5.未造成危害后果；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6.其他可以认定为轻微情形的。</w:t>
            </w:r>
          </w:p>
        </w:tc>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《医疗废物管理条例》第三十九条</w:t>
            </w:r>
          </w:p>
        </w:tc>
        <w:tc>
          <w:tcPr>
            <w:tcW w:w="27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1.现场取证，留存证据；</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2.下发监督意见书，责令限期整改；</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3.约谈</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4.复查；</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5.经复查，对有可能造成传染病传播或环境污染的，或发现倒卖医疗废物现象的，依法依规采取强制措施。</w:t>
            </w:r>
          </w:p>
        </w:tc>
        <w:tc>
          <w:tcPr>
            <w:tcW w:w="12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大连市卫生健康委员会</w:t>
            </w:r>
          </w:p>
        </w:tc>
        <w:tc>
          <w:tcPr>
            <w:tcW w:w="25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中山区卫生健康局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西岗区卫生健康局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沙河口区卫生健康局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甘井子区卫生健康局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旅顺口区卫生健康局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金普新区卫生健康局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普兰店区卫生健康局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瓦房店市卫生健康局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庄河市卫生健康局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长海县卫生健康局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高新区卫生健康局</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长兴岛经济区教育文体卫生局</w:t>
            </w:r>
          </w:p>
        </w:tc>
      </w:tr>
    </w:tbl>
    <w:p>
      <w:pPr>
        <w:ind w:firstLine="640" w:firstLineChars="200"/>
        <w:rPr>
          <w:rFonts w:ascii="仿宋" w:hAnsi="仿宋" w:eastAsia="仿宋"/>
          <w:sz w:val="32"/>
          <w:szCs w:val="32"/>
        </w:rPr>
      </w:pPr>
    </w:p>
    <w:p>
      <w:pPr>
        <w:rPr>
          <w:rFonts w:ascii="仿宋" w:hAnsi="仿宋" w:eastAsia="仿宋"/>
          <w:sz w:val="32"/>
          <w:szCs w:val="32"/>
        </w:rPr>
      </w:pPr>
    </w:p>
    <w:sectPr>
      <w:pgSz w:w="16838" w:h="11906" w:orient="landscape"/>
      <w:pgMar w:top="1474" w:right="1134" w:bottom="147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jk0YjBjZTIzOWIxYzQwOTQ1OGYwOTZjZWIwYTYifQ=="/>
  </w:docVars>
  <w:rsids>
    <w:rsidRoot w:val="00EA2218"/>
    <w:rsid w:val="00007535"/>
    <w:rsid w:val="000B217F"/>
    <w:rsid w:val="0014724B"/>
    <w:rsid w:val="00176345"/>
    <w:rsid w:val="00177DA9"/>
    <w:rsid w:val="00186E2E"/>
    <w:rsid w:val="001935C4"/>
    <w:rsid w:val="002233C3"/>
    <w:rsid w:val="0023251C"/>
    <w:rsid w:val="00284B79"/>
    <w:rsid w:val="002C7F9F"/>
    <w:rsid w:val="002D0A2D"/>
    <w:rsid w:val="003103CF"/>
    <w:rsid w:val="003E7F1A"/>
    <w:rsid w:val="004A5857"/>
    <w:rsid w:val="005671F0"/>
    <w:rsid w:val="005B5CF8"/>
    <w:rsid w:val="005D5D21"/>
    <w:rsid w:val="006268CA"/>
    <w:rsid w:val="00691265"/>
    <w:rsid w:val="006B40AE"/>
    <w:rsid w:val="006C76E6"/>
    <w:rsid w:val="006E4C9B"/>
    <w:rsid w:val="0073493D"/>
    <w:rsid w:val="00756949"/>
    <w:rsid w:val="0077045F"/>
    <w:rsid w:val="007A3DEB"/>
    <w:rsid w:val="007E4934"/>
    <w:rsid w:val="007F3FB1"/>
    <w:rsid w:val="00846772"/>
    <w:rsid w:val="00846E24"/>
    <w:rsid w:val="008541CA"/>
    <w:rsid w:val="00871577"/>
    <w:rsid w:val="008B6FEF"/>
    <w:rsid w:val="00901C90"/>
    <w:rsid w:val="00935E5F"/>
    <w:rsid w:val="009661B2"/>
    <w:rsid w:val="00972655"/>
    <w:rsid w:val="009962A8"/>
    <w:rsid w:val="009D1EC9"/>
    <w:rsid w:val="009F1B5A"/>
    <w:rsid w:val="009F6E7B"/>
    <w:rsid w:val="00A02EB3"/>
    <w:rsid w:val="00A853D5"/>
    <w:rsid w:val="00A97850"/>
    <w:rsid w:val="00AB0927"/>
    <w:rsid w:val="00B118A5"/>
    <w:rsid w:val="00BC772E"/>
    <w:rsid w:val="00C74F6A"/>
    <w:rsid w:val="00C90B56"/>
    <w:rsid w:val="00CC11CA"/>
    <w:rsid w:val="00D06008"/>
    <w:rsid w:val="00D6224B"/>
    <w:rsid w:val="00D762D1"/>
    <w:rsid w:val="00DD49B7"/>
    <w:rsid w:val="00DE2898"/>
    <w:rsid w:val="00DF72F8"/>
    <w:rsid w:val="00E37F90"/>
    <w:rsid w:val="00E43DE5"/>
    <w:rsid w:val="00EA2218"/>
    <w:rsid w:val="00EF1332"/>
    <w:rsid w:val="00F04C8C"/>
    <w:rsid w:val="00FC4AF2"/>
    <w:rsid w:val="1A5538E8"/>
    <w:rsid w:val="1E164317"/>
    <w:rsid w:val="1ECA47DE"/>
    <w:rsid w:val="296E3259"/>
    <w:rsid w:val="37FDF3A3"/>
    <w:rsid w:val="392F63F0"/>
    <w:rsid w:val="3EBF2B9A"/>
    <w:rsid w:val="3FF7B626"/>
    <w:rsid w:val="45D24718"/>
    <w:rsid w:val="4C870287"/>
    <w:rsid w:val="56BB4DEE"/>
    <w:rsid w:val="57D5D24B"/>
    <w:rsid w:val="64A26BD2"/>
    <w:rsid w:val="77FCC3EE"/>
    <w:rsid w:val="79DE2891"/>
    <w:rsid w:val="7AFE9489"/>
    <w:rsid w:val="7BEF0410"/>
    <w:rsid w:val="7EFF0F05"/>
    <w:rsid w:val="8FFFB8C4"/>
    <w:rsid w:val="A5CB386E"/>
    <w:rsid w:val="ACFB8B8C"/>
    <w:rsid w:val="D3BFB5D4"/>
    <w:rsid w:val="D53F4991"/>
    <w:rsid w:val="DF7D7A83"/>
    <w:rsid w:val="EBFB9AB2"/>
    <w:rsid w:val="F5FF231D"/>
    <w:rsid w:val="FCEF445E"/>
    <w:rsid w:val="FE6F283C"/>
    <w:rsid w:val="FEBA4A8B"/>
    <w:rsid w:val="FF570512"/>
    <w:rsid w:val="FFBF9B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1210</Words>
  <Characters>6903</Characters>
  <Lines>57</Lines>
  <Paragraphs>16</Paragraphs>
  <TotalTime>15</TotalTime>
  <ScaleCrop>false</ScaleCrop>
  <LinksUpToDate>false</LinksUpToDate>
  <CharactersWithSpaces>8097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2023-10-24T16:27:00Z</dcterms:created>
  <dc:creator>阴法皓</dc:creator>
  <cp:lastModifiedBy>做个俗人</cp:lastModifiedBy>
  <cp:lastPrinted>2023-10-24T16:19:00Z</cp:lastPrinted>
  <dcterms:modified xsi:type="dcterms:W3CDTF">2025-04-21T05:24:30Z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A7D52D176E54613B217EB567C12D07FD_43</vt:lpwstr>
  </property>
</Properties>
</file>